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  <w:t>柳州市卫生健康委</w:t>
      </w:r>
      <w:r>
        <w:rPr>
          <w:rFonts w:hint="eastAsia" w:ascii="方正小标宋简体" w:eastAsia="方正小标宋简体" w:cs="Times New Roman"/>
          <w:bCs/>
          <w:color w:val="000000"/>
          <w:sz w:val="44"/>
          <w:szCs w:val="44"/>
          <w:lang w:eastAsia="zh-CN"/>
        </w:rPr>
        <w:t>行政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  <w:t>规范性文件清理</w:t>
      </w:r>
      <w:r>
        <w:rPr>
          <w:rFonts w:hint="eastAsia" w:ascii="方正小标宋简体" w:eastAsia="方正小标宋简体" w:cs="Times New Roman"/>
          <w:bCs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page" w:horzAnchor="page" w:tblpX="1364" w:tblpY="2977"/>
        <w:tblOverlap w:val="never"/>
        <w:tblW w:w="13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192"/>
        <w:gridCol w:w="1746"/>
        <w:gridCol w:w="1462"/>
        <w:gridCol w:w="178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tblHeader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619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eastAsia="zh-CN"/>
              </w:rPr>
              <w:t>发布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eastAsia="zh-CN"/>
              </w:rPr>
              <w:t>清理情况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柳州市卫生计生委关于印发《柳州市卫生和计划生育委员会行政自由裁量权基准制度》的通知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柳卫规〔2017〕1号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2017.11.20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废止</w:t>
            </w:r>
          </w:p>
        </w:tc>
        <w:tc>
          <w:tcPr>
            <w:tcW w:w="2038" w:type="dxa"/>
          </w:tcPr>
          <w:p>
            <w:pPr>
              <w:jc w:val="left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根据实际情况出台了新文件。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关于印发《柳州市家庭医生签约服务包及收付费实施方案（试行）》的通知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柳卫规〔2018〕1号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2018.4.2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柳州市卫生计生委关于印发《柳州市孕产妇服务管理责任追究制度（试行）》的通知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柳卫规〔2018〕2号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2018.5.31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关于印发《柳州市卫生计生委重大行政决策制度》的通知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柳卫规〔2018〕3号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2018.11.27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柳州市卫生计生委关于印发《柳州市医疗机构血液调配制度（试行）》的通知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柳卫规〔2019〕1号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2019.1.28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关于印发《柳州市特定行业从业人员健康检查管理办法(试行)》的通知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柳卫规〔2019〕2号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2019.3.11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柳州市卫生健康委关于印发《柳州市享受特殊津贴名医评选实施细则》的通知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柳卫规〔2019〕3号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2019.5.8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柳州市卫生健康委关于印发《柳州市无偿献血奖励办法实施细则》的通知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柳卫规〔2020〕1号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2020.5.6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关于印发《柳州市尘肺病防治攻坚行动实施方案》的通知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柳卫规〔2020〕2号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2020.6.10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宣布失效</w:t>
            </w:r>
          </w:p>
        </w:tc>
        <w:tc>
          <w:tcPr>
            <w:tcW w:w="2038" w:type="dxa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工作任务已完成，适用期已过，不再继续施行。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关于印发《柳州市医疗机构陪护工管理办法（试行）》的通知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柳卫规〔2020〕3号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2020.8.10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柳州市卫生健康委关于印发《柳州市卫生健康委员会行政处罚自由裁量权基准制度》的通知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柳卫规〔2021〕1号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2021.9.15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继续有效</w:t>
            </w:r>
          </w:p>
        </w:tc>
        <w:tc>
          <w:tcPr>
            <w:tcW w:w="2038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sectPr>
      <w:pgSz w:w="16838" w:h="11906" w:orient="landscape"/>
      <w:pgMar w:top="1134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61A0"/>
    <w:rsid w:val="07B161A0"/>
    <w:rsid w:val="17B56F44"/>
    <w:rsid w:val="185428ED"/>
    <w:rsid w:val="1F50106E"/>
    <w:rsid w:val="28867001"/>
    <w:rsid w:val="2C0521E4"/>
    <w:rsid w:val="3465341F"/>
    <w:rsid w:val="43094D93"/>
    <w:rsid w:val="53237B6D"/>
    <w:rsid w:val="55A232CB"/>
    <w:rsid w:val="5BBB15EC"/>
    <w:rsid w:val="5E6A1C29"/>
    <w:rsid w:val="61502F53"/>
    <w:rsid w:val="6BE755F3"/>
    <w:rsid w:val="733D453D"/>
    <w:rsid w:val="7DD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0"/>
    <w:pPr>
      <w:ind w:left="720"/>
      <w:contextualSpacing/>
    </w:pPr>
    <w:rPr>
      <w:sz w:val="28"/>
      <w:szCs w:val="20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2021-11-08T06:01:00Z</dcterms:created>
  <dc:creator>天生励志</dc:creator>
  <cp:lastModifiedBy>天生励志</cp:lastModifiedBy>
  <cp:lastPrinted>2021-11-16T03:03:00Z</cp:lastPrinted>
  <dcterms:modified xsi:type="dcterms:W3CDTF">2021-11-30T08:47:17Z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