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ascii="Times New Roman" w:hAnsi="Times New Roman" w:eastAsia="仿宋_GB2312" w:cs="Times New Roman"/>
          <w:color w:val="auto"/>
          <w:sz w:val="32"/>
          <w:szCs w:val="32"/>
        </w:rPr>
      </w:pPr>
      <w:bookmarkStart w:id="0" w:name="_GoBack"/>
      <w:bookmarkEnd w:id="0"/>
      <w:r>
        <w:rPr>
          <w:rFonts w:hint="eastAsia" w:ascii="Times New Roman" w:hAnsi="Times New Roman" w:eastAsia="仿宋_GB2312" w:cs="Times New Roman"/>
          <w:color w:val="auto"/>
          <w:sz w:val="32"/>
          <w:szCs w:val="32"/>
        </w:rPr>
        <w:t>附件1</w:t>
      </w:r>
    </w:p>
    <w:p>
      <w:pPr>
        <w:spacing w:line="600" w:lineRule="exact"/>
        <w:jc w:val="center"/>
        <w:rPr>
          <w:rFonts w:ascii="方正公文小标宋" w:hAnsi="方正公文小标宋" w:eastAsia="方正公文小标宋" w:cs="方正公文小标宋"/>
          <w:color w:val="auto"/>
          <w:sz w:val="44"/>
          <w:szCs w:val="44"/>
        </w:rPr>
      </w:pPr>
      <w:r>
        <w:rPr>
          <w:rFonts w:hint="eastAsia" w:ascii="方正公文小标宋" w:hAnsi="方正公文小标宋" w:eastAsia="方正公文小标宋" w:cs="方正公文小标宋"/>
          <w:color w:val="auto"/>
          <w:sz w:val="44"/>
          <w:szCs w:val="44"/>
        </w:rPr>
        <w:t>采购需求</w:t>
      </w:r>
    </w:p>
    <w:p>
      <w:pPr>
        <w:spacing w:line="600" w:lineRule="exact"/>
        <w:jc w:val="center"/>
        <w:rPr>
          <w:rFonts w:ascii="方正公文小标宋" w:hAnsi="方正公文小标宋" w:eastAsia="方正公文小标宋" w:cs="方正公文小标宋"/>
          <w:color w:val="auto"/>
          <w:sz w:val="44"/>
          <w:szCs w:val="44"/>
        </w:rPr>
      </w:pPr>
    </w:p>
    <w:p>
      <w:pPr>
        <w:spacing w:line="440" w:lineRule="exact"/>
        <w:ind w:firstLine="640" w:firstLineChars="200"/>
        <w:jc w:val="left"/>
        <w:rPr>
          <w:rFonts w:ascii="仿宋_GB2312" w:hAnsi="仿宋" w:eastAsia="仿宋_GB2312"/>
          <w:b/>
          <w:color w:val="auto"/>
          <w:sz w:val="32"/>
          <w:szCs w:val="32"/>
        </w:rPr>
      </w:pPr>
      <w:r>
        <w:rPr>
          <w:rFonts w:hint="eastAsia" w:ascii="黑体" w:hAnsi="黑体" w:eastAsia="黑体" w:cs="黑体"/>
          <w:color w:val="auto"/>
          <w:sz w:val="32"/>
          <w:szCs w:val="32"/>
        </w:rPr>
        <w:t>一、项目概况</w:t>
      </w:r>
    </w:p>
    <w:p>
      <w:pPr>
        <w:spacing w:line="440" w:lineRule="exact"/>
        <w:ind w:firstLine="640" w:firstLineChars="200"/>
        <w:jc w:val="left"/>
        <w:rPr>
          <w:rFonts w:ascii="仿宋_GB2312" w:hAnsi="仿宋" w:eastAsia="仿宋_GB2312"/>
          <w:bCs/>
          <w:color w:val="auto"/>
          <w:sz w:val="32"/>
          <w:szCs w:val="32"/>
        </w:rPr>
      </w:pPr>
      <w:r>
        <w:rPr>
          <w:rFonts w:hint="eastAsia" w:ascii="仿宋_GB2312" w:hAnsi="仿宋" w:eastAsia="仿宋_GB2312"/>
          <w:bCs/>
          <w:color w:val="auto"/>
          <w:sz w:val="32"/>
          <w:szCs w:val="32"/>
        </w:rPr>
        <w:t>项目名称：</w:t>
      </w:r>
      <w:r>
        <w:rPr>
          <w:rFonts w:hint="eastAsia" w:ascii="仿宋_GB2312" w:hAnsi="仿宋_GB2312" w:eastAsia="仿宋_GB2312" w:cs="仿宋_GB2312"/>
          <w:color w:val="auto"/>
          <w:sz w:val="32"/>
          <w:szCs w:val="32"/>
        </w:rPr>
        <w:t>行业短信</w:t>
      </w:r>
      <w:r>
        <w:rPr>
          <w:rFonts w:hint="eastAsia" w:ascii="仿宋_GB2312" w:hAnsi="仿宋_GB2312" w:eastAsia="仿宋_GB2312" w:cs="仿宋_GB2312"/>
          <w:color w:val="auto"/>
          <w:sz w:val="32"/>
          <w:szCs w:val="32"/>
          <w:lang w:val="en-US" w:eastAsia="zh-CN"/>
        </w:rPr>
        <w:t>服务</w:t>
      </w:r>
      <w:r>
        <w:rPr>
          <w:rFonts w:hint="eastAsia" w:ascii="仿宋_GB2312" w:hAnsi="仿宋" w:eastAsia="仿宋_GB2312"/>
          <w:bCs/>
          <w:color w:val="auto"/>
          <w:sz w:val="32"/>
          <w:szCs w:val="32"/>
        </w:rPr>
        <w:t>采购项目</w:t>
      </w:r>
    </w:p>
    <w:p>
      <w:pPr>
        <w:spacing w:line="440" w:lineRule="exact"/>
        <w:ind w:firstLine="640" w:firstLineChars="200"/>
        <w:jc w:val="left"/>
        <w:rPr>
          <w:rFonts w:ascii="仿宋_GB2312" w:hAnsi="仿宋" w:eastAsia="仿宋_GB2312"/>
          <w:bCs/>
          <w:color w:val="auto"/>
          <w:sz w:val="28"/>
          <w:szCs w:val="28"/>
        </w:rPr>
      </w:pPr>
      <w:r>
        <w:rPr>
          <w:rFonts w:hint="eastAsia" w:ascii="仿宋_GB2312" w:hAnsi="仿宋" w:eastAsia="仿宋_GB2312"/>
          <w:bCs/>
          <w:color w:val="auto"/>
          <w:sz w:val="32"/>
          <w:szCs w:val="32"/>
        </w:rPr>
        <w:t>服务期限：自合同签订之日起至项目履约完成之日止。</w:t>
      </w:r>
    </w:p>
    <w:p>
      <w:pPr>
        <w:spacing w:line="440" w:lineRule="exact"/>
        <w:ind w:firstLine="640" w:firstLineChars="200"/>
        <w:jc w:val="left"/>
        <w:rPr>
          <w:rFonts w:ascii="仿宋_GB2312" w:hAnsi="仿宋" w:eastAsia="仿宋_GB2312"/>
          <w:b/>
          <w:color w:val="auto"/>
          <w:sz w:val="32"/>
          <w:szCs w:val="32"/>
        </w:rPr>
      </w:pPr>
      <w:r>
        <w:rPr>
          <w:rFonts w:hint="eastAsia" w:ascii="黑体" w:hAnsi="黑体" w:eastAsia="黑体" w:cs="黑体"/>
          <w:color w:val="auto"/>
          <w:sz w:val="32"/>
          <w:szCs w:val="32"/>
        </w:rPr>
        <w:t>二、采购与服务范围</w:t>
      </w:r>
    </w:p>
    <w:p>
      <w:pPr>
        <w:spacing w:line="440" w:lineRule="exact"/>
        <w:ind w:firstLine="640" w:firstLineChars="200"/>
        <w:jc w:val="left"/>
        <w:rPr>
          <w:rFonts w:ascii="仿宋_GB2312" w:hAnsi="仿宋" w:eastAsia="仿宋_GB2312"/>
          <w:bCs/>
          <w:color w:val="auto"/>
          <w:sz w:val="32"/>
          <w:szCs w:val="32"/>
        </w:rPr>
      </w:pPr>
      <w:r>
        <w:rPr>
          <w:rFonts w:hint="eastAsia" w:ascii="仿宋_GB2312" w:hAnsi="仿宋" w:eastAsia="仿宋_GB2312"/>
          <w:bCs/>
          <w:color w:val="auto"/>
          <w:sz w:val="32"/>
          <w:szCs w:val="32"/>
        </w:rPr>
        <w:t>完成</w:t>
      </w:r>
      <w:r>
        <w:rPr>
          <w:rFonts w:ascii="仿宋_GB2312" w:hAnsi="仿宋" w:eastAsia="仿宋_GB2312"/>
          <w:bCs/>
          <w:color w:val="auto"/>
          <w:sz w:val="32"/>
          <w:szCs w:val="32"/>
        </w:rPr>
        <w:t>不少于</w:t>
      </w:r>
      <w:r>
        <w:rPr>
          <w:rFonts w:hint="eastAsia" w:ascii="仿宋_GB2312" w:hAnsi="仿宋" w:eastAsia="仿宋_GB2312"/>
          <w:bCs/>
          <w:color w:val="auto"/>
          <w:sz w:val="32"/>
          <w:szCs w:val="32"/>
        </w:rPr>
        <w:t>78万条</w:t>
      </w:r>
      <w:r>
        <w:rPr>
          <w:rFonts w:hint="eastAsia" w:ascii="仿宋_GB2312" w:hAnsi="仿宋_GB2312" w:eastAsia="仿宋_GB2312" w:cs="仿宋_GB2312"/>
          <w:color w:val="auto"/>
          <w:sz w:val="32"/>
          <w:szCs w:val="32"/>
        </w:rPr>
        <w:t>行业短信发送，服务期1年，</w:t>
      </w:r>
      <w:r>
        <w:rPr>
          <w:rFonts w:hint="eastAsia" w:ascii="仿宋_GB2312" w:hAnsi="仿宋" w:eastAsia="仿宋_GB2312"/>
          <w:bCs/>
          <w:color w:val="auto"/>
          <w:sz w:val="32"/>
          <w:szCs w:val="32"/>
        </w:rPr>
        <w:t>保障行业短信接口与柳州市卫生健康信息化提升项目相关系统稳定无缝对接。具体要求如下：</w:t>
      </w:r>
    </w:p>
    <w:tbl>
      <w:tblPr>
        <w:tblStyle w:val="10"/>
        <w:tblW w:w="88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78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006" w:type="dxa"/>
            <w:vAlign w:val="center"/>
          </w:tcPr>
          <w:p>
            <w:pPr>
              <w:spacing w:line="44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服务</w:t>
            </w:r>
          </w:p>
          <w:p>
            <w:pPr>
              <w:spacing w:line="440" w:lineRule="exact"/>
              <w:jc w:val="center"/>
              <w:rPr>
                <w:rFonts w:hint="eastAsia" w:ascii="仿宋_GB2312" w:hAnsi="仿宋_GB2312" w:eastAsia="仿宋_GB2312" w:cs="仿宋_GB2312"/>
                <w:b/>
                <w:color w:val="auto"/>
                <w:szCs w:val="21"/>
                <w:highlight w:val="yellow"/>
              </w:rPr>
            </w:pPr>
            <w:r>
              <w:rPr>
                <w:rFonts w:hint="eastAsia" w:ascii="仿宋_GB2312" w:hAnsi="仿宋_GB2312" w:eastAsia="仿宋_GB2312" w:cs="仿宋_GB2312"/>
                <w:b/>
                <w:color w:val="auto"/>
                <w:sz w:val="28"/>
                <w:szCs w:val="28"/>
              </w:rPr>
              <w:t>内容</w:t>
            </w:r>
          </w:p>
        </w:tc>
        <w:tc>
          <w:tcPr>
            <w:tcW w:w="7857" w:type="dxa"/>
            <w:vAlign w:val="center"/>
          </w:tcPr>
          <w:p>
            <w:pPr>
              <w:spacing w:line="276" w:lineRule="auto"/>
              <w:jc w:val="center"/>
              <w:rPr>
                <w:rFonts w:hint="eastAsia" w:ascii="仿宋_GB2312" w:hAnsi="仿宋_GB2312" w:eastAsia="仿宋_GB2312" w:cs="仿宋_GB2312"/>
                <w:b/>
                <w:color w:val="auto"/>
                <w:szCs w:val="21"/>
                <w:highlight w:val="yellow"/>
              </w:rPr>
            </w:pPr>
            <w:r>
              <w:rPr>
                <w:rFonts w:hint="eastAsia" w:ascii="仿宋_GB2312" w:hAnsi="仿宋_GB2312" w:eastAsia="仿宋_GB2312" w:cs="仿宋_GB2312"/>
                <w:b/>
                <w:color w:val="auto"/>
                <w:sz w:val="28"/>
                <w:szCs w:val="28"/>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9" w:hRule="atLeast"/>
          <w:jc w:val="center"/>
        </w:trPr>
        <w:tc>
          <w:tcPr>
            <w:tcW w:w="1006" w:type="dxa"/>
            <w:vAlign w:val="center"/>
          </w:tcPr>
          <w:p>
            <w:pPr>
              <w:spacing w:line="360" w:lineRule="exact"/>
              <w:jc w:val="left"/>
              <w:rPr>
                <w:rFonts w:hint="eastAsia" w:ascii="仿宋_GB2312" w:hAnsi="仿宋_GB2312" w:eastAsia="仿宋_GB2312" w:cs="仿宋_GB2312"/>
                <w:b/>
                <w:color w:val="auto"/>
                <w:szCs w:val="21"/>
              </w:rPr>
            </w:pPr>
            <w:r>
              <w:rPr>
                <w:rFonts w:hint="eastAsia" w:ascii="仿宋_GB2312" w:hAnsi="仿宋_GB2312" w:eastAsia="仿宋_GB2312" w:cs="仿宋_GB2312"/>
                <w:b/>
                <w:color w:val="auto"/>
                <w:sz w:val="28"/>
                <w:szCs w:val="28"/>
              </w:rPr>
              <w:t>行业短信发送服务</w:t>
            </w:r>
          </w:p>
        </w:tc>
        <w:tc>
          <w:tcPr>
            <w:tcW w:w="7857" w:type="dxa"/>
          </w:tcPr>
          <w:p>
            <w:pPr>
              <w:spacing w:line="480" w:lineRule="exact"/>
              <w:rPr>
                <w:rFonts w:hint="eastAsia" w:ascii="仿宋_GB2312" w:hAnsi="仿宋_GB2312" w:eastAsia="仿宋_GB2312" w:cs="仿宋_GB2312"/>
                <w:b/>
                <w:bCs/>
                <w:color w:val="auto"/>
                <w:sz w:val="24"/>
                <w:szCs w:val="32"/>
              </w:rPr>
            </w:pPr>
            <w:r>
              <w:rPr>
                <w:rFonts w:hint="eastAsia" w:ascii="仿宋_GB2312" w:hAnsi="仿宋_GB2312" w:eastAsia="仿宋_GB2312" w:cs="仿宋_GB2312"/>
                <w:b/>
                <w:bCs/>
                <w:color w:val="auto"/>
                <w:sz w:val="24"/>
                <w:szCs w:val="32"/>
              </w:rPr>
              <w:t>一、项目概况</w:t>
            </w:r>
          </w:p>
          <w:p>
            <w:pPr>
              <w:spacing w:line="480" w:lineRule="exact"/>
              <w:ind w:firstLineChars="200"/>
              <w:rPr>
                <w:rFonts w:hint="eastAsia" w:ascii="仿宋_GB2312" w:hAnsi="仿宋_GB2312" w:eastAsia="仿宋_GB2312" w:cs="仿宋_GB2312"/>
                <w:color w:val="auto"/>
                <w:sz w:val="24"/>
                <w:szCs w:val="32"/>
              </w:rPr>
            </w:pPr>
            <w:r>
              <w:rPr>
                <w:rFonts w:hint="eastAsia" w:ascii="仿宋_GB2312" w:hAnsi="仿宋_GB2312" w:eastAsia="仿宋_GB2312" w:cs="仿宋_GB2312"/>
                <w:color w:val="auto"/>
                <w:sz w:val="24"/>
                <w:szCs w:val="32"/>
                <w:lang w:eastAsia="zh-CN"/>
              </w:rPr>
              <w:t>1.</w:t>
            </w:r>
            <w:r>
              <w:rPr>
                <w:rFonts w:hint="eastAsia" w:ascii="仿宋_GB2312" w:hAnsi="仿宋_GB2312" w:eastAsia="仿宋_GB2312" w:cs="仿宋_GB2312"/>
                <w:color w:val="auto"/>
                <w:sz w:val="24"/>
                <w:szCs w:val="32"/>
              </w:rPr>
              <w:t>采购行业短信发送服务，</w:t>
            </w:r>
            <w:r>
              <w:rPr>
                <w:rFonts w:hint="eastAsia" w:ascii="仿宋_GB2312" w:hAnsi="仿宋_GB2312" w:eastAsia="仿宋_GB2312" w:cs="仿宋_GB2312"/>
                <w:color w:val="auto"/>
                <w:sz w:val="24"/>
              </w:rPr>
              <w:t>按条计费，</w:t>
            </w:r>
            <w:r>
              <w:rPr>
                <w:rFonts w:hint="eastAsia" w:ascii="仿宋_GB2312" w:hAnsi="仿宋_GB2312" w:eastAsia="仿宋_GB2312" w:cs="仿宋_GB2312"/>
                <w:color w:val="auto"/>
                <w:sz w:val="24"/>
                <w:szCs w:val="32"/>
              </w:rPr>
              <w:t>以实际发送数量结算。</w:t>
            </w:r>
          </w:p>
          <w:p>
            <w:pPr>
              <w:spacing w:line="480" w:lineRule="exact"/>
              <w:ind w:firstLineChars="200"/>
              <w:rPr>
                <w:rFonts w:hint="eastAsia" w:ascii="仿宋_GB2312" w:hAnsi="仿宋_GB2312" w:eastAsia="仿宋_GB2312" w:cs="仿宋_GB2312"/>
                <w:color w:val="auto"/>
                <w:sz w:val="24"/>
                <w:szCs w:val="32"/>
              </w:rPr>
            </w:pPr>
            <w:r>
              <w:rPr>
                <w:rFonts w:hint="eastAsia" w:ascii="仿宋_GB2312" w:hAnsi="仿宋_GB2312" w:eastAsia="仿宋_GB2312" w:cs="仿宋_GB2312"/>
                <w:color w:val="auto"/>
                <w:sz w:val="24"/>
                <w:szCs w:val="32"/>
                <w:lang w:eastAsia="zh-CN"/>
              </w:rPr>
              <w:t>2.</w:t>
            </w:r>
            <w:r>
              <w:rPr>
                <w:rFonts w:hint="eastAsia" w:ascii="仿宋_GB2312" w:hAnsi="仿宋_GB2312" w:eastAsia="仿宋_GB2312" w:cs="仿宋_GB2312"/>
                <w:color w:val="auto"/>
                <w:sz w:val="24"/>
                <w:szCs w:val="32"/>
              </w:rPr>
              <w:t>服务期限：壹年。</w:t>
            </w:r>
          </w:p>
          <w:p>
            <w:pPr>
              <w:spacing w:line="480" w:lineRule="exact"/>
              <w:rPr>
                <w:rFonts w:hint="eastAsia" w:ascii="仿宋_GB2312" w:hAnsi="仿宋_GB2312" w:eastAsia="仿宋_GB2312" w:cs="仿宋_GB2312"/>
                <w:b/>
                <w:bCs/>
                <w:color w:val="auto"/>
                <w:sz w:val="24"/>
                <w:szCs w:val="32"/>
              </w:rPr>
            </w:pPr>
            <w:r>
              <w:rPr>
                <w:rFonts w:hint="eastAsia" w:ascii="仿宋_GB2312" w:hAnsi="仿宋_GB2312" w:eastAsia="仿宋_GB2312" w:cs="仿宋_GB2312"/>
                <w:b/>
                <w:bCs/>
                <w:color w:val="auto"/>
                <w:sz w:val="24"/>
                <w:szCs w:val="32"/>
              </w:rPr>
              <w:t>二、服务内容及技术要求：</w:t>
            </w:r>
          </w:p>
          <w:p>
            <w:pPr>
              <w:spacing w:line="480" w:lineRule="exact"/>
              <w:ind w:firstLine="480" w:firstLineChars="200"/>
              <w:rPr>
                <w:rFonts w:hint="eastAsia" w:ascii="仿宋_GB2312" w:hAnsi="仿宋_GB2312" w:eastAsia="仿宋_GB2312" w:cs="仿宋_GB2312"/>
                <w:color w:val="auto"/>
                <w:sz w:val="24"/>
                <w:szCs w:val="32"/>
              </w:rPr>
            </w:pPr>
            <w:r>
              <w:rPr>
                <w:rFonts w:hint="eastAsia" w:ascii="仿宋_GB2312" w:hAnsi="仿宋_GB2312" w:eastAsia="仿宋_GB2312" w:cs="仿宋_GB2312"/>
                <w:color w:val="auto"/>
                <w:sz w:val="24"/>
                <w:szCs w:val="32"/>
                <w:lang w:eastAsia="zh-CN"/>
              </w:rPr>
              <w:t>1.</w:t>
            </w:r>
            <w:r>
              <w:rPr>
                <w:rFonts w:hint="eastAsia" w:ascii="仿宋_GB2312" w:hAnsi="仿宋_GB2312" w:eastAsia="仿宋_GB2312" w:cs="仿宋_GB2312"/>
                <w:color w:val="auto"/>
                <w:sz w:val="24"/>
                <w:szCs w:val="32"/>
              </w:rPr>
              <w:t>提供对移动、联通、电信、广电手机号码全网全国短信发送服务，号码开机且号码、网络状态正常的情况下，发送成功率99%以上。</w:t>
            </w:r>
          </w:p>
          <w:p>
            <w:pPr>
              <w:spacing w:line="480" w:lineRule="exact"/>
              <w:ind w:firstLine="480" w:firstLineChars="200"/>
              <w:rPr>
                <w:rFonts w:hint="eastAsia" w:ascii="仿宋_GB2312" w:hAnsi="仿宋_GB2312" w:eastAsia="仿宋_GB2312" w:cs="仿宋_GB2312"/>
                <w:color w:val="auto"/>
                <w:sz w:val="24"/>
                <w:szCs w:val="32"/>
              </w:rPr>
            </w:pPr>
            <w:r>
              <w:rPr>
                <w:rFonts w:hint="eastAsia" w:ascii="仿宋_GB2312" w:hAnsi="仿宋_GB2312" w:eastAsia="仿宋_GB2312" w:cs="仿宋_GB2312"/>
                <w:color w:val="auto"/>
                <w:sz w:val="24"/>
                <w:szCs w:val="32"/>
                <w:lang w:eastAsia="zh-CN"/>
              </w:rPr>
              <w:t>2.</w:t>
            </w:r>
            <w:r>
              <w:rPr>
                <w:rFonts w:hint="eastAsia" w:ascii="仿宋_GB2312" w:hAnsi="仿宋_GB2312" w:eastAsia="仿宋_GB2312" w:cs="仿宋_GB2312"/>
                <w:color w:val="auto"/>
                <w:sz w:val="24"/>
                <w:szCs w:val="32"/>
              </w:rPr>
              <w:t>支持批量发送短信。</w:t>
            </w:r>
          </w:p>
          <w:p>
            <w:pPr>
              <w:widowControl/>
              <w:spacing w:before="60" w:line="480" w:lineRule="exact"/>
              <w:ind w:firstLine="480" w:firstLineChars="200"/>
              <w:jc w:val="left"/>
              <w:rPr>
                <w:rFonts w:hint="eastAsia" w:ascii="仿宋_GB2312" w:hAnsi="仿宋_GB2312" w:eastAsia="仿宋_GB2312" w:cs="仿宋_GB2312"/>
                <w:color w:val="auto"/>
                <w:sz w:val="24"/>
                <w:szCs w:val="32"/>
              </w:rPr>
            </w:pPr>
            <w:r>
              <w:rPr>
                <w:rFonts w:hint="eastAsia" w:ascii="仿宋_GB2312" w:hAnsi="仿宋_GB2312" w:eastAsia="仿宋_GB2312" w:cs="仿宋_GB2312"/>
                <w:color w:val="auto"/>
                <w:sz w:val="24"/>
                <w:lang w:eastAsia="zh-CN"/>
              </w:rPr>
              <w:t>3.</w:t>
            </w:r>
            <w:r>
              <w:rPr>
                <w:rFonts w:hint="eastAsia" w:ascii="仿宋_GB2312" w:hAnsi="仿宋_GB2312" w:eastAsia="仿宋_GB2312" w:cs="仿宋_GB2312"/>
                <w:color w:val="auto"/>
                <w:sz w:val="24"/>
                <w:szCs w:val="32"/>
              </w:rPr>
              <w:t>支持上行短信的接收及下行短信的存储，可以查看及存储发送号码数据、发送状态报告、回执返回报告，提供上行回复信息的查询功能。</w:t>
            </w:r>
          </w:p>
          <w:p>
            <w:pPr>
              <w:widowControl/>
              <w:spacing w:before="60" w:line="480" w:lineRule="exact"/>
              <w:ind w:firstLine="480" w:firstLineChars="200"/>
              <w:jc w:val="left"/>
              <w:rPr>
                <w:rFonts w:hint="eastAsia" w:ascii="仿宋_GB2312" w:hAnsi="仿宋_GB2312" w:eastAsia="仿宋_GB2312" w:cs="仿宋_GB2312"/>
                <w:color w:val="auto"/>
                <w:sz w:val="24"/>
                <w:szCs w:val="32"/>
              </w:rPr>
            </w:pPr>
            <w:r>
              <w:rPr>
                <w:rFonts w:hint="eastAsia" w:ascii="仿宋_GB2312" w:hAnsi="仿宋_GB2312" w:eastAsia="仿宋_GB2312" w:cs="仿宋_GB2312"/>
                <w:color w:val="auto"/>
                <w:sz w:val="24"/>
                <w:szCs w:val="32"/>
                <w:lang w:eastAsia="zh-CN"/>
              </w:rPr>
              <w:t>4.</w:t>
            </w:r>
            <w:r>
              <w:rPr>
                <w:rFonts w:hint="eastAsia" w:ascii="仿宋_GB2312" w:hAnsi="仿宋_GB2312" w:eastAsia="仿宋_GB2312" w:cs="仿宋_GB2312"/>
                <w:color w:val="auto"/>
                <w:sz w:val="24"/>
                <w:szCs w:val="32"/>
              </w:rPr>
              <w:t>平台具备通讯录管理及通讯录属性配置。</w:t>
            </w:r>
          </w:p>
          <w:p>
            <w:pPr>
              <w:widowControl/>
              <w:spacing w:before="60" w:line="480" w:lineRule="exact"/>
              <w:ind w:firstLine="480" w:firstLineChars="200"/>
              <w:jc w:val="left"/>
              <w:rPr>
                <w:rFonts w:hint="eastAsia" w:ascii="仿宋_GB2312" w:hAnsi="仿宋_GB2312" w:eastAsia="仿宋_GB2312" w:cs="仿宋_GB2312"/>
                <w:color w:val="auto"/>
                <w:sz w:val="24"/>
                <w:szCs w:val="32"/>
              </w:rPr>
            </w:pPr>
            <w:r>
              <w:rPr>
                <w:rFonts w:hint="eastAsia" w:ascii="仿宋_GB2312" w:hAnsi="仿宋_GB2312" w:eastAsia="仿宋_GB2312" w:cs="仿宋_GB2312"/>
                <w:color w:val="auto"/>
                <w:sz w:val="24"/>
                <w:szCs w:val="32"/>
                <w:lang w:eastAsia="zh-CN"/>
              </w:rPr>
              <w:t>5.</w:t>
            </w:r>
            <w:r>
              <w:rPr>
                <w:rFonts w:hint="eastAsia" w:ascii="仿宋_GB2312" w:hAnsi="仿宋_GB2312" w:eastAsia="仿宋_GB2312" w:cs="仿宋_GB2312"/>
                <w:color w:val="auto"/>
                <w:sz w:val="24"/>
                <w:szCs w:val="32"/>
              </w:rPr>
              <w:t>具备查询统计功能：可按日、按月、按照时间段查询短信发送总数、成功总数、失败总数、未返回总数，支持导出。</w:t>
            </w:r>
          </w:p>
          <w:p>
            <w:pPr>
              <w:widowControl/>
              <w:spacing w:before="60" w:line="480" w:lineRule="exact"/>
              <w:ind w:firstLine="480" w:firstLineChars="200"/>
              <w:jc w:val="left"/>
              <w:rPr>
                <w:rFonts w:hint="eastAsia" w:ascii="仿宋_GB2312" w:hAnsi="仿宋_GB2312" w:eastAsia="仿宋_GB2312" w:cs="仿宋_GB2312"/>
                <w:color w:val="auto"/>
                <w:sz w:val="24"/>
                <w:szCs w:val="32"/>
              </w:rPr>
            </w:pPr>
            <w:r>
              <w:rPr>
                <w:rFonts w:hint="eastAsia" w:ascii="仿宋_GB2312" w:hAnsi="仿宋_GB2312" w:eastAsia="仿宋_GB2312" w:cs="仿宋_GB2312"/>
                <w:color w:val="auto"/>
                <w:sz w:val="24"/>
                <w:szCs w:val="32"/>
                <w:lang w:eastAsia="zh-CN"/>
              </w:rPr>
              <w:t>6.</w:t>
            </w:r>
            <w:r>
              <w:rPr>
                <w:rFonts w:hint="eastAsia" w:ascii="仿宋_GB2312" w:hAnsi="仿宋_GB2312" w:eastAsia="仿宋_GB2312" w:cs="仿宋_GB2312"/>
                <w:color w:val="auto"/>
                <w:sz w:val="24"/>
                <w:szCs w:val="32"/>
              </w:rPr>
              <w:t>具备监控告警功能：能够对平台的运行状态进行监控。如出现网络异常，接口故障、通道堵塞等情况，能够及时告警。</w:t>
            </w:r>
          </w:p>
          <w:p>
            <w:pPr>
              <w:widowControl/>
              <w:spacing w:before="60" w:line="480" w:lineRule="exact"/>
              <w:ind w:firstLine="480" w:firstLineChars="200"/>
              <w:jc w:val="left"/>
              <w:rPr>
                <w:rFonts w:hint="eastAsia" w:ascii="仿宋_GB2312" w:hAnsi="仿宋_GB2312" w:eastAsia="仿宋_GB2312" w:cs="仿宋_GB2312"/>
                <w:color w:val="auto"/>
                <w:sz w:val="24"/>
                <w:szCs w:val="32"/>
              </w:rPr>
            </w:pPr>
            <w:r>
              <w:rPr>
                <w:rFonts w:hint="eastAsia" w:ascii="仿宋_GB2312" w:hAnsi="仿宋_GB2312" w:eastAsia="仿宋_GB2312" w:cs="仿宋_GB2312"/>
                <w:color w:val="auto"/>
                <w:sz w:val="24"/>
                <w:szCs w:val="32"/>
                <w:lang w:eastAsia="zh-CN"/>
              </w:rPr>
              <w:t>7.</w:t>
            </w:r>
            <w:r>
              <w:rPr>
                <w:rFonts w:hint="eastAsia" w:ascii="仿宋_GB2312" w:hAnsi="仿宋_GB2312" w:eastAsia="仿宋_GB2312" w:cs="仿宋_GB2312"/>
                <w:color w:val="auto"/>
                <w:sz w:val="24"/>
                <w:szCs w:val="32"/>
              </w:rPr>
              <w:t>失败重发机制：发送失败的短信支持重发，计费按发送成功数计算。</w:t>
            </w:r>
          </w:p>
          <w:p>
            <w:pPr>
              <w:widowControl/>
              <w:spacing w:before="60" w:line="480" w:lineRule="exact"/>
              <w:ind w:firstLine="480" w:firstLineChars="200"/>
              <w:jc w:val="left"/>
              <w:rPr>
                <w:rFonts w:hint="eastAsia" w:ascii="仿宋_GB2312" w:hAnsi="仿宋_GB2312" w:eastAsia="仿宋_GB2312" w:cs="仿宋_GB2312"/>
                <w:color w:val="auto"/>
                <w:sz w:val="24"/>
                <w:szCs w:val="32"/>
              </w:rPr>
            </w:pPr>
            <w:r>
              <w:rPr>
                <w:rFonts w:hint="eastAsia" w:ascii="仿宋_GB2312" w:hAnsi="仿宋_GB2312" w:eastAsia="仿宋_GB2312" w:cs="仿宋_GB2312"/>
                <w:color w:val="auto"/>
                <w:sz w:val="24"/>
                <w:szCs w:val="32"/>
                <w:lang w:eastAsia="zh-CN"/>
              </w:rPr>
              <w:t>8.</w:t>
            </w:r>
            <w:r>
              <w:rPr>
                <w:rFonts w:hint="eastAsia" w:ascii="仿宋_GB2312" w:hAnsi="仿宋_GB2312" w:eastAsia="仿宋_GB2312" w:cs="仿宋_GB2312"/>
                <w:color w:val="auto"/>
                <w:sz w:val="24"/>
                <w:szCs w:val="32"/>
              </w:rPr>
              <w:t>保障行业短信接口与柳州市卫生健康信息化提升项目相关系统稳定无缝对接。</w:t>
            </w:r>
          </w:p>
          <w:p>
            <w:pPr>
              <w:spacing w:line="480" w:lineRule="exact"/>
              <w:ind w:firstLine="480" w:firstLineChars="200"/>
              <w:rPr>
                <w:rFonts w:hint="eastAsia" w:ascii="仿宋_GB2312" w:hAnsi="仿宋_GB2312" w:eastAsia="仿宋_GB2312" w:cs="仿宋_GB2312"/>
                <w:color w:val="auto"/>
                <w:sz w:val="24"/>
                <w:szCs w:val="32"/>
              </w:rPr>
            </w:pPr>
            <w:r>
              <w:rPr>
                <w:rFonts w:hint="eastAsia" w:ascii="仿宋_GB2312" w:hAnsi="仿宋_GB2312" w:eastAsia="仿宋_GB2312" w:cs="仿宋_GB2312"/>
                <w:color w:val="auto"/>
                <w:sz w:val="24"/>
                <w:szCs w:val="32"/>
                <w:lang w:eastAsia="zh-CN"/>
              </w:rPr>
              <w:t>9.</w:t>
            </w:r>
            <w:r>
              <w:rPr>
                <w:rFonts w:hint="eastAsia" w:ascii="仿宋_GB2312" w:hAnsi="仿宋_GB2312" w:eastAsia="仿宋_GB2312" w:cs="仿宋_GB2312"/>
                <w:color w:val="auto"/>
                <w:sz w:val="24"/>
                <w:szCs w:val="32"/>
              </w:rPr>
              <w:t>安全性和保密性：成交供应商应对所提供短信平台系统的安全性负责，采用成熟、可靠、符合安全保密要求的产品和技术措施，保证系统的安全。如防止短信平台系统</w:t>
            </w:r>
            <w:r>
              <w:rPr>
                <w:rFonts w:hint="eastAsia" w:ascii="仿宋_GB2312" w:hAnsi="仿宋_GB2312" w:eastAsia="仿宋_GB2312" w:cs="仿宋_GB2312"/>
                <w:color w:val="auto"/>
                <w:sz w:val="24"/>
                <w:szCs w:val="32"/>
                <w:lang w:eastAsia="zh-CN"/>
              </w:rPr>
              <w:t>遭到</w:t>
            </w:r>
            <w:r>
              <w:rPr>
                <w:rFonts w:hint="eastAsia" w:ascii="仿宋_GB2312" w:hAnsi="仿宋_GB2312" w:eastAsia="仿宋_GB2312" w:cs="仿宋_GB2312"/>
                <w:color w:val="auto"/>
                <w:sz w:val="24"/>
                <w:szCs w:val="32"/>
              </w:rPr>
              <w:t>恶意攻击停止运行、被动发放未经审核的短信内容及避免短信发送内容被恶意篡改等。中标人提供短信平台系统应支持无效号码去除。接入短信通道客户及客户模块均需要通过鉴权后方可接入，支持用户名&amp;密码、IP鉴权等两种及以上方式。</w:t>
            </w:r>
          </w:p>
          <w:p>
            <w:pPr>
              <w:spacing w:line="480" w:lineRule="exact"/>
              <w:ind w:firstLine="480" w:firstLineChars="200"/>
              <w:rPr>
                <w:rFonts w:hint="eastAsia" w:ascii="仿宋_GB2312" w:hAnsi="仿宋_GB2312" w:eastAsia="仿宋_GB2312" w:cs="仿宋_GB2312"/>
                <w:color w:val="auto"/>
                <w:sz w:val="24"/>
                <w:szCs w:val="32"/>
              </w:rPr>
            </w:pPr>
            <w:r>
              <w:rPr>
                <w:rFonts w:hint="eastAsia" w:ascii="仿宋_GB2312" w:hAnsi="仿宋_GB2312" w:eastAsia="仿宋_GB2312" w:cs="仿宋_GB2312"/>
                <w:color w:val="auto"/>
                <w:sz w:val="24"/>
                <w:szCs w:val="32"/>
                <w:lang w:eastAsia="zh-CN"/>
              </w:rPr>
              <w:t>10.</w:t>
            </w:r>
            <w:r>
              <w:rPr>
                <w:rFonts w:hint="eastAsia" w:ascii="仿宋_GB2312" w:hAnsi="仿宋_GB2312" w:eastAsia="仿宋_GB2312" w:cs="仿宋_GB2312"/>
                <w:color w:val="auto"/>
                <w:sz w:val="24"/>
                <w:szCs w:val="32"/>
              </w:rPr>
              <w:t>可靠性和可用性：保证每天7*24小时平台功能稳定、系统性能可靠。充分考虑系统故障时，数据的完整性和可靠性，要有完备的数据备份与数据恢复策略，提供短信发送历史数据记录功能，并随时提供查询接口，且至少保存最近6个月的历史数据。</w:t>
            </w:r>
          </w:p>
          <w:p>
            <w:pPr>
              <w:spacing w:line="480" w:lineRule="exact"/>
              <w:ind w:firstLine="480" w:firstLineChars="200"/>
              <w:rPr>
                <w:rFonts w:hint="eastAsia" w:ascii="仿宋_GB2312" w:hAnsi="仿宋_GB2312" w:eastAsia="仿宋_GB2312" w:cs="仿宋_GB2312"/>
                <w:color w:val="auto"/>
                <w:sz w:val="24"/>
                <w:szCs w:val="32"/>
              </w:rPr>
            </w:pPr>
            <w:r>
              <w:rPr>
                <w:rFonts w:hint="eastAsia" w:ascii="仿宋_GB2312" w:hAnsi="仿宋_GB2312" w:eastAsia="仿宋_GB2312" w:cs="仿宋_GB2312"/>
                <w:color w:val="auto"/>
                <w:sz w:val="24"/>
                <w:szCs w:val="32"/>
                <w:lang w:eastAsia="zh-CN"/>
              </w:rPr>
              <w:t>11.</w:t>
            </w:r>
            <w:r>
              <w:rPr>
                <w:rFonts w:hint="eastAsia" w:ascii="仿宋_GB2312" w:hAnsi="仿宋_GB2312" w:eastAsia="仿宋_GB2312" w:cs="仿宋_GB2312"/>
                <w:color w:val="auto"/>
                <w:sz w:val="24"/>
                <w:szCs w:val="32"/>
              </w:rPr>
              <w:t>支持多个账号登录功能。</w:t>
            </w:r>
          </w:p>
          <w:p>
            <w:pPr>
              <w:spacing w:line="480" w:lineRule="exact"/>
              <w:ind w:firstLine="480" w:firstLineChars="200"/>
              <w:rPr>
                <w:rFonts w:hint="eastAsia" w:ascii="仿宋_GB2312" w:hAnsi="仿宋_GB2312" w:eastAsia="仿宋_GB2312" w:cs="仿宋_GB2312"/>
                <w:color w:val="auto"/>
                <w:sz w:val="24"/>
                <w:szCs w:val="32"/>
              </w:rPr>
            </w:pPr>
            <w:r>
              <w:rPr>
                <w:rFonts w:hint="eastAsia" w:ascii="仿宋_GB2312" w:hAnsi="仿宋_GB2312" w:eastAsia="仿宋_GB2312" w:cs="仿宋_GB2312"/>
                <w:color w:val="auto"/>
                <w:sz w:val="24"/>
                <w:szCs w:val="32"/>
                <w:lang w:eastAsia="zh-CN"/>
              </w:rPr>
              <w:t>12.</w:t>
            </w:r>
            <w:r>
              <w:rPr>
                <w:rFonts w:hint="eastAsia" w:ascii="仿宋_GB2312" w:hAnsi="仿宋_GB2312" w:eastAsia="仿宋_GB2312" w:cs="仿宋_GB2312"/>
                <w:color w:val="auto"/>
                <w:sz w:val="24"/>
                <w:szCs w:val="32"/>
              </w:rPr>
              <w:t>支持长短信发送及定时发送功能。</w:t>
            </w:r>
          </w:p>
          <w:p>
            <w:pPr>
              <w:spacing w:line="480" w:lineRule="exact"/>
              <w:ind w:firstLine="480" w:firstLineChars="200"/>
              <w:rPr>
                <w:rFonts w:hint="eastAsia" w:ascii="仿宋_GB2312" w:hAnsi="仿宋_GB2312" w:eastAsia="仿宋_GB2312" w:cs="仿宋_GB2312"/>
                <w:color w:val="auto"/>
                <w:sz w:val="24"/>
                <w:szCs w:val="32"/>
              </w:rPr>
            </w:pPr>
            <w:r>
              <w:rPr>
                <w:rFonts w:hint="eastAsia" w:ascii="仿宋_GB2312" w:hAnsi="仿宋_GB2312" w:eastAsia="仿宋_GB2312" w:cs="仿宋_GB2312"/>
                <w:color w:val="auto"/>
                <w:sz w:val="24"/>
                <w:szCs w:val="32"/>
                <w:lang w:eastAsia="zh-CN"/>
              </w:rPr>
              <w:t>13.</w:t>
            </w:r>
            <w:r>
              <w:rPr>
                <w:rFonts w:hint="eastAsia" w:ascii="仿宋_GB2312" w:hAnsi="仿宋_GB2312" w:eastAsia="仿宋_GB2312" w:cs="仿宋_GB2312"/>
                <w:color w:val="auto"/>
                <w:sz w:val="24"/>
                <w:szCs w:val="32"/>
              </w:rPr>
              <w:t>黑白名单功能，可支持对多个手机号码进行设置。可将某些用户手机号码加入黑名单，凡是加入黑名单的用户丢失接收信息的权限，支持外部黑名单进行导入、导出、添加和删除操作。</w:t>
            </w:r>
          </w:p>
          <w:p>
            <w:pPr>
              <w:spacing w:line="480" w:lineRule="exact"/>
              <w:rPr>
                <w:rFonts w:hint="eastAsia" w:ascii="仿宋_GB2312" w:hAnsi="仿宋_GB2312" w:eastAsia="仿宋_GB2312" w:cs="仿宋_GB2312"/>
                <w:b/>
                <w:bCs/>
                <w:color w:val="auto"/>
                <w:sz w:val="24"/>
                <w:szCs w:val="32"/>
              </w:rPr>
            </w:pPr>
            <w:r>
              <w:rPr>
                <w:rFonts w:hint="eastAsia" w:ascii="仿宋_GB2312" w:hAnsi="仿宋_GB2312" w:eastAsia="仿宋_GB2312" w:cs="仿宋_GB2312"/>
                <w:b/>
                <w:bCs/>
                <w:color w:val="auto"/>
                <w:sz w:val="24"/>
                <w:szCs w:val="32"/>
              </w:rPr>
              <w:t>三、售后服务要求：</w:t>
            </w:r>
          </w:p>
          <w:p>
            <w:pPr>
              <w:spacing w:line="400" w:lineRule="exact"/>
              <w:ind w:firstLine="480" w:firstLineChars="200"/>
              <w:rPr>
                <w:rFonts w:hint="eastAsia" w:ascii="仿宋_GB2312" w:hAnsi="仿宋_GB2312" w:eastAsia="仿宋_GB2312" w:cs="仿宋_GB2312"/>
                <w:color w:val="auto"/>
                <w:sz w:val="24"/>
                <w:szCs w:val="32"/>
              </w:rPr>
            </w:pPr>
            <w:r>
              <w:rPr>
                <w:rFonts w:hint="eastAsia" w:ascii="仿宋_GB2312" w:hAnsi="仿宋_GB2312" w:eastAsia="仿宋_GB2312" w:cs="仿宋_GB2312"/>
                <w:color w:val="auto"/>
                <w:sz w:val="24"/>
                <w:szCs w:val="32"/>
                <w:lang w:eastAsia="zh-CN"/>
              </w:rPr>
              <w:t>1.</w:t>
            </w:r>
            <w:r>
              <w:rPr>
                <w:rFonts w:hint="eastAsia" w:ascii="仿宋_GB2312" w:hAnsi="仿宋_GB2312" w:eastAsia="仿宋_GB2312" w:cs="仿宋_GB2312"/>
                <w:color w:val="auto"/>
                <w:sz w:val="24"/>
                <w:szCs w:val="32"/>
              </w:rPr>
              <w:t>提供7*24小时技术支持、网络监控、客户投诉受理。对短信发送服务出现的故障响应时间不超过30分钟</w:t>
            </w:r>
            <w:r>
              <w:rPr>
                <w:rFonts w:hint="eastAsia" w:ascii="仿宋_GB2312" w:hAnsi="仿宋_GB2312" w:eastAsia="仿宋_GB2312" w:cs="仿宋_GB2312"/>
                <w:color w:val="auto"/>
                <w:sz w:val="24"/>
                <w:szCs w:val="32"/>
                <w:lang w:eastAsia="zh-CN"/>
              </w:rPr>
              <w:t>，在</w:t>
            </w:r>
            <w:r>
              <w:rPr>
                <w:rFonts w:hint="eastAsia" w:ascii="仿宋_GB2312" w:hAnsi="仿宋_GB2312" w:eastAsia="仿宋_GB2312" w:cs="仿宋_GB2312"/>
                <w:color w:val="auto"/>
                <w:sz w:val="24"/>
                <w:szCs w:val="32"/>
              </w:rPr>
              <w:t>故障发生后24个小时内提供故障报告。</w:t>
            </w:r>
          </w:p>
          <w:p>
            <w:pPr>
              <w:spacing w:line="400" w:lineRule="exact"/>
              <w:ind w:firstLine="480" w:firstLineChars="200"/>
              <w:rPr>
                <w:rFonts w:hint="eastAsia" w:ascii="仿宋_GB2312" w:hAnsi="仿宋_GB2312" w:eastAsia="仿宋_GB2312" w:cs="仿宋_GB2312"/>
                <w:color w:val="auto"/>
                <w:sz w:val="24"/>
                <w:szCs w:val="32"/>
              </w:rPr>
            </w:pPr>
            <w:r>
              <w:rPr>
                <w:rFonts w:hint="eastAsia" w:ascii="仿宋_GB2312" w:hAnsi="仿宋_GB2312" w:eastAsia="仿宋_GB2312" w:cs="仿宋_GB2312"/>
                <w:color w:val="auto"/>
                <w:sz w:val="24"/>
                <w:szCs w:val="32"/>
                <w:lang w:eastAsia="zh-CN"/>
              </w:rPr>
              <w:t>2.</w:t>
            </w:r>
            <w:r>
              <w:rPr>
                <w:rFonts w:hint="eastAsia" w:ascii="仿宋_GB2312" w:hAnsi="仿宋_GB2312" w:eastAsia="仿宋_GB2312" w:cs="仿宋_GB2312"/>
                <w:color w:val="auto"/>
                <w:sz w:val="24"/>
                <w:szCs w:val="32"/>
              </w:rPr>
              <w:t>成交供应商在数据传输、控制方面进行对采购人</w:t>
            </w:r>
            <w:r>
              <w:rPr>
                <w:rFonts w:hint="eastAsia" w:ascii="仿宋_GB2312" w:hAnsi="仿宋_GB2312" w:eastAsia="仿宋_GB2312" w:cs="仿宋_GB2312"/>
                <w:color w:val="auto"/>
                <w:sz w:val="24"/>
                <w:szCs w:val="32"/>
                <w:lang w:eastAsia="zh-CN"/>
              </w:rPr>
              <w:t>有影响的信息服务</w:t>
            </w:r>
            <w:r>
              <w:rPr>
                <w:rFonts w:hint="eastAsia" w:ascii="仿宋_GB2312" w:hAnsi="仿宋_GB2312" w:eastAsia="仿宋_GB2312" w:cs="仿宋_GB2312"/>
                <w:color w:val="auto"/>
                <w:sz w:val="24"/>
                <w:szCs w:val="32"/>
              </w:rPr>
              <w:t>变动时须提前72小时通知采购人。成交供应商因工程施工、网络建设等原因，影响或者可能影响正常电信服务的，应提前72小时告知采购人。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006" w:type="dxa"/>
            <w:vAlign w:val="center"/>
          </w:tcPr>
          <w:p>
            <w:pPr>
              <w:spacing w:line="360" w:lineRule="exact"/>
              <w:jc w:val="left"/>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违约</w:t>
            </w:r>
          </w:p>
          <w:p>
            <w:pPr>
              <w:spacing w:line="360" w:lineRule="exact"/>
              <w:jc w:val="left"/>
              <w:rPr>
                <w:rFonts w:hint="eastAsia" w:ascii="仿宋_GB2312" w:hAnsi="仿宋_GB2312" w:eastAsia="仿宋_GB2312" w:cs="仿宋_GB2312"/>
                <w:b/>
                <w:color w:val="auto"/>
                <w:szCs w:val="21"/>
              </w:rPr>
            </w:pPr>
            <w:r>
              <w:rPr>
                <w:rFonts w:hint="eastAsia" w:ascii="仿宋_GB2312" w:hAnsi="仿宋_GB2312" w:eastAsia="仿宋_GB2312" w:cs="仿宋_GB2312"/>
                <w:b/>
                <w:color w:val="auto"/>
                <w:sz w:val="28"/>
                <w:szCs w:val="28"/>
              </w:rPr>
              <w:t>条款</w:t>
            </w:r>
          </w:p>
        </w:tc>
        <w:tc>
          <w:tcPr>
            <w:tcW w:w="7857" w:type="dxa"/>
            <w:vAlign w:val="center"/>
          </w:tcPr>
          <w:p>
            <w:pPr>
              <w:pStyle w:val="6"/>
              <w:tabs>
                <w:tab w:val="left" w:pos="3765"/>
              </w:tabs>
              <w:spacing w:line="440" w:lineRule="exact"/>
              <w:ind w:firstLine="480" w:firstLineChars="200"/>
              <w:jc w:val="left"/>
              <w:rPr>
                <w:rFonts w:hint="eastAsia" w:ascii="仿宋_GB2312" w:hAnsi="仿宋_GB2312" w:eastAsia="仿宋_GB2312" w:cs="仿宋_GB2312"/>
                <w:color w:val="auto"/>
                <w:sz w:val="24"/>
                <w:szCs w:val="32"/>
              </w:rPr>
            </w:pPr>
            <w:r>
              <w:rPr>
                <w:rFonts w:hint="eastAsia" w:ascii="仿宋_GB2312" w:hAnsi="仿宋_GB2312" w:eastAsia="仿宋_GB2312" w:cs="仿宋_GB2312"/>
                <w:color w:val="auto"/>
                <w:sz w:val="24"/>
                <w:szCs w:val="32"/>
                <w:lang w:eastAsia="zh-CN"/>
              </w:rPr>
              <w:t>1.</w:t>
            </w:r>
            <w:r>
              <w:rPr>
                <w:rFonts w:hint="eastAsia" w:ascii="仿宋_GB2312" w:hAnsi="仿宋_GB2312" w:eastAsia="仿宋_GB2312" w:cs="仿宋_GB2312"/>
                <w:color w:val="auto"/>
                <w:sz w:val="24"/>
                <w:szCs w:val="32"/>
              </w:rPr>
              <w:t>若由于通讯传输系统故障造成短信发送不及时、不准确，由此给采购人造成损失的由成交供应商承担：成交供应商必须退回全部已支付款项，并支付项目总金额的20 %作为违约金赔偿采购人经济损失。</w:t>
            </w:r>
          </w:p>
          <w:p>
            <w:pPr>
              <w:pStyle w:val="4"/>
              <w:spacing w:line="440" w:lineRule="exact"/>
              <w:ind w:firstLine="480" w:firstLineChars="200"/>
              <w:rPr>
                <w:rFonts w:hint="eastAsia" w:ascii="仿宋_GB2312" w:hAnsi="仿宋_GB2312" w:eastAsia="仿宋_GB2312" w:cs="仿宋_GB2312"/>
                <w:color w:val="auto"/>
                <w:sz w:val="24"/>
                <w:szCs w:val="32"/>
              </w:rPr>
            </w:pPr>
            <w:r>
              <w:rPr>
                <w:rFonts w:hint="eastAsia" w:ascii="仿宋_GB2312" w:hAnsi="仿宋_GB2312" w:eastAsia="仿宋_GB2312" w:cs="仿宋_GB2312"/>
                <w:color w:val="auto"/>
                <w:sz w:val="24"/>
                <w:szCs w:val="32"/>
                <w:lang w:eastAsia="zh-CN"/>
              </w:rPr>
              <w:t>2.</w:t>
            </w:r>
            <w:r>
              <w:rPr>
                <w:rFonts w:hint="eastAsia" w:ascii="仿宋_GB2312" w:hAnsi="仿宋_GB2312" w:eastAsia="仿宋_GB2312" w:cs="仿宋_GB2312"/>
                <w:color w:val="auto"/>
                <w:sz w:val="24"/>
                <w:szCs w:val="32"/>
              </w:rPr>
              <w:t>成交供应商未按响应时间要求到</w:t>
            </w:r>
            <w:r>
              <w:rPr>
                <w:rFonts w:hint="eastAsia" w:ascii="仿宋_GB2312" w:hAnsi="仿宋_GB2312" w:eastAsia="仿宋_GB2312" w:cs="仿宋_GB2312"/>
                <w:color w:val="auto"/>
                <w:sz w:val="24"/>
                <w:szCs w:val="32"/>
                <w:lang w:eastAsia="zh-CN"/>
              </w:rPr>
              <w:t>场</w:t>
            </w:r>
            <w:r>
              <w:rPr>
                <w:rFonts w:hint="eastAsia" w:ascii="仿宋_GB2312" w:hAnsi="仿宋_GB2312" w:eastAsia="仿宋_GB2312" w:cs="仿宋_GB2312"/>
                <w:color w:val="auto"/>
                <w:sz w:val="24"/>
                <w:szCs w:val="32"/>
              </w:rPr>
              <w:t>，算作一次响应超时。每出现1次紧急问题响应超时视为违约，按合同总金额的5%计算违约金并赔偿经济损失；每出现1次严重问题响应超时视为违约，按合同总金额的3%计算违约金并赔偿经济损失。</w:t>
            </w:r>
          </w:p>
          <w:p>
            <w:pPr>
              <w:pStyle w:val="6"/>
              <w:tabs>
                <w:tab w:val="left" w:pos="3765"/>
              </w:tabs>
              <w:spacing w:line="440" w:lineRule="exact"/>
              <w:ind w:firstLine="480" w:firstLineChars="200"/>
              <w:jc w:val="left"/>
              <w:rPr>
                <w:rFonts w:hint="eastAsia" w:ascii="仿宋_GB2312" w:hAnsi="仿宋_GB2312" w:eastAsia="仿宋_GB2312" w:cs="仿宋_GB2312"/>
                <w:color w:val="auto"/>
              </w:rPr>
            </w:pPr>
            <w:r>
              <w:rPr>
                <w:rFonts w:hint="eastAsia" w:ascii="仿宋_GB2312" w:hAnsi="仿宋_GB2312" w:eastAsia="仿宋_GB2312" w:cs="仿宋_GB2312"/>
                <w:color w:val="auto"/>
                <w:sz w:val="24"/>
                <w:szCs w:val="32"/>
                <w:lang w:eastAsia="zh-CN"/>
              </w:rPr>
              <w:t>3.</w:t>
            </w:r>
            <w:r>
              <w:rPr>
                <w:rFonts w:hint="eastAsia" w:ascii="仿宋_GB2312" w:hAnsi="仿宋_GB2312" w:eastAsia="仿宋_GB2312" w:cs="仿宋_GB2312"/>
                <w:color w:val="auto"/>
                <w:sz w:val="24"/>
                <w:szCs w:val="32"/>
              </w:rPr>
              <w:t>违约责任的赔偿不意</w:t>
            </w:r>
            <w:r>
              <w:rPr>
                <w:rFonts w:hint="eastAsia" w:ascii="仿宋_GB2312" w:hAnsi="仿宋_GB2312" w:eastAsia="仿宋_GB2312" w:cs="仿宋_GB2312"/>
                <w:color w:val="auto"/>
                <w:sz w:val="24"/>
                <w:szCs w:val="32"/>
                <w:lang w:eastAsia="zh-CN"/>
              </w:rPr>
              <w:t>味着</w:t>
            </w:r>
            <w:r>
              <w:rPr>
                <w:rFonts w:hint="eastAsia" w:ascii="仿宋_GB2312" w:hAnsi="仿宋_GB2312" w:eastAsia="仿宋_GB2312" w:cs="仿宋_GB2312"/>
                <w:color w:val="auto"/>
                <w:sz w:val="24"/>
                <w:szCs w:val="32"/>
              </w:rPr>
              <w:t>违约方整个合同责任的解除，未经采购人同意，成交供应商不得以任何理由推迟、降低、减少有关合同条款履行的承诺。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1006" w:type="dxa"/>
            <w:vAlign w:val="center"/>
          </w:tcPr>
          <w:p>
            <w:pPr>
              <w:spacing w:line="360" w:lineRule="exact"/>
              <w:jc w:val="left"/>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报价</w:t>
            </w:r>
          </w:p>
          <w:p>
            <w:pPr>
              <w:spacing w:line="360" w:lineRule="exact"/>
              <w:jc w:val="left"/>
              <w:rPr>
                <w:rFonts w:hint="eastAsia" w:ascii="仿宋_GB2312" w:hAnsi="仿宋_GB2312" w:eastAsia="仿宋_GB2312" w:cs="仿宋_GB2312"/>
                <w:b/>
                <w:color w:val="auto"/>
                <w:szCs w:val="21"/>
              </w:rPr>
            </w:pPr>
            <w:r>
              <w:rPr>
                <w:rFonts w:hint="eastAsia" w:ascii="仿宋_GB2312" w:hAnsi="仿宋_GB2312" w:eastAsia="仿宋_GB2312" w:cs="仿宋_GB2312"/>
                <w:b/>
                <w:color w:val="auto"/>
                <w:sz w:val="28"/>
                <w:szCs w:val="28"/>
              </w:rPr>
              <w:t>要求</w:t>
            </w:r>
          </w:p>
        </w:tc>
        <w:tc>
          <w:tcPr>
            <w:tcW w:w="7857" w:type="dxa"/>
            <w:vAlign w:val="center"/>
          </w:tcPr>
          <w:p>
            <w:pPr>
              <w:pStyle w:val="6"/>
              <w:tabs>
                <w:tab w:val="left" w:pos="3765"/>
              </w:tabs>
              <w:spacing w:line="440" w:lineRule="exact"/>
              <w:ind w:firstLine="480" w:firstLineChars="200"/>
              <w:jc w:val="left"/>
              <w:rPr>
                <w:rFonts w:hint="eastAsia" w:ascii="仿宋_GB2312" w:hAnsi="仿宋_GB2312" w:eastAsia="仿宋_GB2312" w:cs="仿宋_GB2312"/>
                <w:color w:val="auto"/>
                <w:kern w:val="0"/>
              </w:rPr>
            </w:pPr>
            <w:r>
              <w:rPr>
                <w:rFonts w:hint="eastAsia" w:ascii="仿宋_GB2312" w:hAnsi="仿宋_GB2312" w:eastAsia="仿宋_GB2312" w:cs="仿宋_GB2312"/>
                <w:color w:val="auto"/>
                <w:sz w:val="24"/>
                <w:szCs w:val="32"/>
              </w:rPr>
              <w:t>本次报价须为人民币报价，应包含本服务项目的所有费用，包括接入及调试、维护、技术支持等售后服务费用。</w:t>
            </w:r>
          </w:p>
        </w:tc>
      </w:tr>
    </w:tbl>
    <w:p>
      <w:pPr>
        <w:spacing w:line="440" w:lineRule="exact"/>
        <w:ind w:firstLine="640" w:firstLineChars="200"/>
        <w:jc w:val="left"/>
        <w:rPr>
          <w:rFonts w:ascii="仿宋_GB2312" w:hAnsi="仿宋" w:eastAsia="仿宋_GB2312"/>
          <w:b/>
          <w:color w:val="auto"/>
          <w:sz w:val="28"/>
          <w:szCs w:val="28"/>
        </w:rPr>
      </w:pPr>
      <w:r>
        <w:rPr>
          <w:rFonts w:hint="eastAsia" w:ascii="黑体" w:hAnsi="黑体" w:eastAsia="黑体" w:cs="黑体"/>
          <w:color w:val="auto"/>
          <w:sz w:val="32"/>
          <w:szCs w:val="32"/>
        </w:rPr>
        <w:t>三、成果交付时间：</w:t>
      </w:r>
    </w:p>
    <w:p>
      <w:pPr>
        <w:spacing w:line="440" w:lineRule="exact"/>
        <w:ind w:firstLine="640" w:firstLineChars="200"/>
        <w:jc w:val="left"/>
        <w:rPr>
          <w:rFonts w:ascii="仿宋_GB2312" w:hAnsi="仿宋" w:eastAsia="仿宋_GB2312"/>
          <w:bCs/>
          <w:color w:val="auto"/>
          <w:sz w:val="28"/>
          <w:szCs w:val="28"/>
        </w:rPr>
      </w:pPr>
      <w:r>
        <w:rPr>
          <w:rFonts w:hint="eastAsia" w:ascii="仿宋_GB2312" w:hAnsi="仿宋" w:eastAsia="仿宋_GB2312"/>
          <w:bCs/>
          <w:color w:val="auto"/>
          <w:sz w:val="32"/>
          <w:szCs w:val="32"/>
        </w:rPr>
        <w:t>自合同签订之日起至项目履约完成之日止。</w:t>
      </w:r>
    </w:p>
    <w:p>
      <w:pPr>
        <w:spacing w:line="440" w:lineRule="exact"/>
        <w:ind w:firstLine="640" w:firstLineChars="200"/>
        <w:jc w:val="left"/>
        <w:rPr>
          <w:rFonts w:ascii="仿宋_GB2312" w:hAnsi="仿宋" w:eastAsia="仿宋_GB2312"/>
          <w:b/>
          <w:color w:val="auto"/>
          <w:sz w:val="28"/>
          <w:szCs w:val="28"/>
        </w:rPr>
      </w:pPr>
      <w:r>
        <w:rPr>
          <w:rFonts w:hint="eastAsia" w:ascii="黑体" w:hAnsi="黑体" w:eastAsia="黑体" w:cs="黑体"/>
          <w:color w:val="auto"/>
          <w:sz w:val="32"/>
          <w:szCs w:val="32"/>
        </w:rPr>
        <w:t>四、成果交付要求：</w:t>
      </w:r>
    </w:p>
    <w:p>
      <w:pPr>
        <w:spacing w:line="440" w:lineRule="exact"/>
        <w:ind w:firstLine="640" w:firstLineChars="200"/>
        <w:jc w:val="left"/>
        <w:rPr>
          <w:rFonts w:ascii="仿宋_GB2312" w:hAnsi="仿宋" w:eastAsia="仿宋_GB2312"/>
          <w:bCs/>
          <w:color w:val="auto"/>
          <w:sz w:val="32"/>
          <w:szCs w:val="32"/>
        </w:rPr>
      </w:pPr>
      <w:r>
        <w:rPr>
          <w:rFonts w:hint="eastAsia" w:ascii="仿宋_GB2312" w:hAnsi="仿宋" w:eastAsia="仿宋_GB2312"/>
          <w:bCs/>
          <w:color w:val="auto"/>
          <w:sz w:val="32"/>
          <w:szCs w:val="32"/>
        </w:rPr>
        <w:t>完成行业短信业务交付，可与柳州市卫生健康信息化提升项目相关系统稳定对接</w:t>
      </w:r>
      <w:r>
        <w:rPr>
          <w:rFonts w:hint="default" w:ascii="仿宋_GB2312" w:hAnsi="仿宋" w:eastAsia="仿宋_GB2312"/>
          <w:bCs/>
          <w:color w:val="auto"/>
          <w:sz w:val="32"/>
          <w:szCs w:val="32"/>
          <w:lang w:val="en-US"/>
        </w:rPr>
        <w:t>，</w:t>
      </w:r>
      <w:r>
        <w:rPr>
          <w:rFonts w:hint="eastAsia" w:ascii="仿宋_GB2312" w:hAnsi="仿宋" w:eastAsia="仿宋_GB2312"/>
          <w:bCs/>
          <w:color w:val="auto"/>
          <w:sz w:val="32"/>
          <w:szCs w:val="32"/>
        </w:rPr>
        <w:t>对接调试全部费用包含在总报价内。</w:t>
      </w:r>
    </w:p>
    <w:p>
      <w:pPr>
        <w:spacing w:line="440" w:lineRule="exact"/>
        <w:ind w:firstLine="640" w:firstLineChars="200"/>
        <w:jc w:val="left"/>
        <w:rPr>
          <w:rFonts w:ascii="仿宋_GB2312" w:hAnsi="仿宋" w:eastAsia="仿宋_GB2312"/>
          <w:b/>
          <w:color w:val="auto"/>
          <w:sz w:val="28"/>
          <w:szCs w:val="28"/>
        </w:rPr>
      </w:pPr>
      <w:r>
        <w:rPr>
          <w:rFonts w:hint="eastAsia" w:ascii="黑体" w:hAnsi="黑体" w:eastAsia="黑体" w:cs="黑体"/>
          <w:color w:val="auto"/>
          <w:sz w:val="32"/>
          <w:szCs w:val="32"/>
        </w:rPr>
        <w:t>五、成果交付地点：</w:t>
      </w:r>
    </w:p>
    <w:p>
      <w:pPr>
        <w:spacing w:line="440" w:lineRule="exact"/>
        <w:ind w:firstLine="640" w:firstLineChars="200"/>
        <w:jc w:val="left"/>
        <w:rPr>
          <w:rFonts w:ascii="仿宋_GB2312" w:hAnsi="仿宋" w:eastAsia="仿宋_GB2312"/>
          <w:bCs/>
          <w:color w:val="auto"/>
          <w:sz w:val="28"/>
          <w:szCs w:val="28"/>
        </w:rPr>
      </w:pPr>
      <w:r>
        <w:rPr>
          <w:rFonts w:hint="eastAsia" w:ascii="仿宋_GB2312" w:hAnsi="仿宋" w:eastAsia="仿宋_GB2312"/>
          <w:bCs/>
          <w:color w:val="auto"/>
          <w:sz w:val="32"/>
          <w:szCs w:val="32"/>
        </w:rPr>
        <w:t>采购人指定地点。</w:t>
      </w:r>
    </w:p>
    <w:p>
      <w:pPr>
        <w:spacing w:line="600" w:lineRule="exact"/>
        <w:rPr>
          <w:color w:val="auto"/>
        </w:rPr>
      </w:pPr>
    </w:p>
    <w:p>
      <w:pPr>
        <w:spacing w:line="600" w:lineRule="exact"/>
        <w:rPr>
          <w:color w:val="auto"/>
        </w:rPr>
      </w:pPr>
    </w:p>
    <w:p>
      <w:pPr>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br w:type="page"/>
      </w:r>
    </w:p>
    <w:p>
      <w:pPr>
        <w:spacing w:line="600" w:lineRule="exact"/>
        <w:ind w:firstLine="328"/>
        <w:jc w:val="left"/>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附件2</w:t>
      </w:r>
    </w:p>
    <w:p>
      <w:pPr>
        <w:spacing w:line="600" w:lineRule="exact"/>
        <w:ind w:firstLine="328"/>
        <w:jc w:val="center"/>
        <w:rPr>
          <w:rFonts w:ascii="方正小标宋简体" w:hAnsi="方正小标宋简体" w:eastAsia="方正小标宋简体" w:cs="方正小标宋简体"/>
          <w:color w:val="auto"/>
          <w:sz w:val="44"/>
          <w:szCs w:val="44"/>
        </w:rPr>
      </w:pPr>
      <w:r>
        <w:rPr>
          <w:rFonts w:hint="eastAsia" w:ascii="黑体" w:hAnsi="黑体" w:eastAsia="黑体" w:cs="黑体"/>
          <w:b/>
          <w:bCs/>
          <w:color w:val="auto"/>
          <w:sz w:val="36"/>
          <w:szCs w:val="36"/>
        </w:rPr>
        <w:t>报价单</w:t>
      </w:r>
    </w:p>
    <w:p>
      <w:pPr>
        <w:spacing w:line="600" w:lineRule="exact"/>
        <w:rPr>
          <w:color w:val="auto"/>
        </w:rPr>
      </w:pPr>
    </w:p>
    <w:p>
      <w:pPr>
        <w:spacing w:line="60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填报时间：     年   月   日</w:t>
      </w:r>
    </w:p>
    <w:tbl>
      <w:tblPr>
        <w:tblStyle w:val="10"/>
        <w:tblW w:w="4997" w:type="pct"/>
        <w:tblInd w:w="0" w:type="dxa"/>
        <w:tblLayout w:type="autofit"/>
        <w:tblCellMar>
          <w:top w:w="0" w:type="dxa"/>
          <w:left w:w="0" w:type="dxa"/>
          <w:bottom w:w="0" w:type="dxa"/>
          <w:right w:w="0" w:type="dxa"/>
        </w:tblCellMar>
      </w:tblPr>
      <w:tblGrid>
        <w:gridCol w:w="4070"/>
        <w:gridCol w:w="2547"/>
        <w:gridCol w:w="2479"/>
      </w:tblGrid>
      <w:tr>
        <w:trPr>
          <w:trHeight w:val="700" w:hRule="atLeast"/>
        </w:trPr>
        <w:tc>
          <w:tcPr>
            <w:tcW w:w="2237"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600" w:lineRule="exact"/>
              <w:jc w:val="center"/>
              <w:textAlignment w:val="center"/>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kern w:val="0"/>
                <w:sz w:val="32"/>
                <w:szCs w:val="32"/>
              </w:rPr>
              <w:t>单位名称</w:t>
            </w:r>
          </w:p>
        </w:tc>
        <w:tc>
          <w:tcPr>
            <w:tcW w:w="140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600" w:lineRule="exact"/>
              <w:jc w:val="center"/>
              <w:textAlignment w:val="center"/>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kern w:val="0"/>
                <w:sz w:val="32"/>
                <w:szCs w:val="32"/>
              </w:rPr>
              <w:t>报价（元）</w:t>
            </w:r>
          </w:p>
        </w:tc>
        <w:tc>
          <w:tcPr>
            <w:tcW w:w="136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600" w:lineRule="exact"/>
              <w:jc w:val="center"/>
              <w:textAlignment w:val="center"/>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备注</w:t>
            </w:r>
          </w:p>
        </w:tc>
      </w:tr>
      <w:tr>
        <w:tblPrEx>
          <w:tblCellMar>
            <w:top w:w="0" w:type="dxa"/>
            <w:left w:w="0" w:type="dxa"/>
            <w:bottom w:w="0" w:type="dxa"/>
            <w:right w:w="0" w:type="dxa"/>
          </w:tblCellMar>
        </w:tblPrEx>
        <w:trPr>
          <w:trHeight w:val="760" w:hRule="atLeast"/>
        </w:trPr>
        <w:tc>
          <w:tcPr>
            <w:tcW w:w="223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600" w:lineRule="exact"/>
              <w:rPr>
                <w:rFonts w:ascii="仿宋_GB2312" w:hAnsi="宋体" w:eastAsia="仿宋_GB2312" w:cs="仿宋_GB2312"/>
                <w:color w:val="auto"/>
                <w:sz w:val="28"/>
                <w:szCs w:val="28"/>
              </w:rPr>
            </w:pPr>
          </w:p>
        </w:tc>
        <w:tc>
          <w:tcPr>
            <w:tcW w:w="140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600" w:lineRule="exact"/>
              <w:rPr>
                <w:rFonts w:ascii="仿宋_GB2312" w:hAnsi="宋体" w:eastAsia="仿宋_GB2312" w:cs="仿宋_GB2312"/>
                <w:color w:val="auto"/>
                <w:sz w:val="28"/>
                <w:szCs w:val="28"/>
              </w:rPr>
            </w:pPr>
          </w:p>
        </w:tc>
        <w:tc>
          <w:tcPr>
            <w:tcW w:w="136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600" w:lineRule="exact"/>
              <w:rPr>
                <w:rFonts w:ascii="仿宋_GB2312" w:hAnsi="宋体" w:eastAsia="仿宋_GB2312" w:cs="仿宋_GB2312"/>
                <w:color w:val="auto"/>
                <w:sz w:val="28"/>
                <w:szCs w:val="28"/>
                <w:highlight w:val="none"/>
              </w:rPr>
            </w:pPr>
          </w:p>
        </w:tc>
      </w:tr>
    </w:tbl>
    <w:p>
      <w:pPr>
        <w:spacing w:line="600" w:lineRule="exact"/>
        <w:rPr>
          <w:color w:val="auto"/>
        </w:rPr>
      </w:pPr>
    </w:p>
    <w:p>
      <w:pPr>
        <w:spacing w:line="600" w:lineRule="exac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联系人：                  联系电话：</w:t>
      </w:r>
    </w:p>
    <w:p>
      <w:pPr>
        <w:spacing w:line="600" w:lineRule="exact"/>
        <w:ind w:firstLine="328"/>
        <w:jc w:val="center"/>
        <w:rPr>
          <w:rFonts w:ascii="方正小标宋简体" w:hAnsi="方正小标宋简体" w:eastAsia="方正小标宋简体" w:cs="方正小标宋简体"/>
          <w:color w:val="auto"/>
          <w:sz w:val="44"/>
          <w:szCs w:val="44"/>
        </w:rPr>
      </w:pPr>
    </w:p>
    <w:p>
      <w:pPr>
        <w:rPr>
          <w:color w:val="auto"/>
        </w:rPr>
      </w:pPr>
    </w:p>
    <w:p>
      <w:pPr>
        <w:pStyle w:val="9"/>
        <w:widowControl/>
        <w:shd w:val="clear" w:color="auto" w:fill="FFFFFF"/>
        <w:spacing w:beforeAutospacing="0" w:after="180" w:afterAutospacing="0" w:line="400" w:lineRule="exact"/>
        <w:rPr>
          <w:rFonts w:ascii="仿宋_GB2312" w:hAnsi="Helvetica" w:eastAsia="仿宋_GB2312" w:cs="仿宋_GB2312"/>
          <w:color w:val="auto"/>
          <w:sz w:val="32"/>
          <w:szCs w:val="32"/>
          <w:shd w:val="clear" w:color="auto" w:fill="FFFFFF"/>
        </w:rPr>
      </w:pPr>
    </w:p>
    <w:sectPr>
      <w:pgSz w:w="11906" w:h="16838"/>
      <w:pgMar w:top="1304" w:right="1304" w:bottom="130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47626CD-B057-48BA-AE13-28F9164121F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8CED7534-7995-42D8-A74D-9F23DA5CF768}"/>
  </w:font>
  <w:font w:name="方正小标宋简体">
    <w:panose1 w:val="02010601030101010101"/>
    <w:charset w:val="86"/>
    <w:family w:val="auto"/>
    <w:pitch w:val="default"/>
    <w:sig w:usb0="00000001" w:usb1="080E0000" w:usb2="00000000" w:usb3="00000000" w:csb0="00040000" w:csb1="00000000"/>
    <w:embedRegular r:id="rId3" w:fontKey="{585238F1-CC64-4388-BF47-DB1BE76E94DA}"/>
  </w:font>
  <w:font w:name="方正公文小标宋">
    <w:panose1 w:val="02000500000000000000"/>
    <w:charset w:val="86"/>
    <w:family w:val="auto"/>
    <w:pitch w:val="default"/>
    <w:sig w:usb0="00000000" w:usb1="00000000" w:usb2="00000000" w:usb3="00000000" w:csb0="00000000" w:csb1="00000000"/>
    <w:embedRegular r:id="rId4" w:fontKey="{973F13EB-FCAC-454D-B658-66A29AC67EC6}"/>
  </w:font>
  <w:font w:name="仿宋">
    <w:panose1 w:val="02010609060101010101"/>
    <w:charset w:val="86"/>
    <w:family w:val="modern"/>
    <w:pitch w:val="default"/>
    <w:sig w:usb0="800002BF" w:usb1="38CF7CFA" w:usb2="00000016" w:usb3="00000000" w:csb0="00040001" w:csb1="00000000"/>
    <w:embedRegular r:id="rId5" w:fontKey="{5FB682FE-199D-4DE0-8C1E-2F644DF3998A}"/>
  </w:font>
  <w:font w:name="Helvetica">
    <w:altName w:val="Arial"/>
    <w:panose1 w:val="020B0604020002020204"/>
    <w:charset w:val="00"/>
    <w:family w:val="swiss"/>
    <w:pitch w:val="default"/>
    <w:sig w:usb0="00000000" w:usb1="00000000" w:usb2="00000009" w:usb3="00000000" w:csb0="000001FF" w:csb1="00000000"/>
    <w:embedRegular r:id="rId6" w:fontKey="{4CC87C36-FCBD-494D-B92A-350D90498CE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DA7574"/>
    <w:rsid w:val="24FB5A20"/>
    <w:rsid w:val="317A7C05"/>
    <w:rsid w:val="39C9665C"/>
    <w:rsid w:val="3EC05D86"/>
    <w:rsid w:val="40B25959"/>
    <w:rsid w:val="59BD52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3"/>
    <w:basedOn w:val="1"/>
    <w:next w:val="1"/>
    <w:qFormat/>
    <w:uiPriority w:val="0"/>
    <w:pPr>
      <w:spacing w:beforeAutospacing="1" w:afterAutospacing="1"/>
      <w:jc w:val="left"/>
      <w:outlineLvl w:val="2"/>
    </w:pPr>
    <w:rPr>
      <w:rFonts w:hint="eastAsia" w:ascii="宋体" w:hAnsi="宋体" w:cs="Times New Roman"/>
      <w:b/>
      <w:bCs/>
      <w:kern w:val="0"/>
      <w:sz w:val="27"/>
      <w:szCs w:val="27"/>
    </w:rPr>
  </w:style>
  <w:style w:type="character" w:default="1" w:styleId="11">
    <w:name w:val="Default Paragraph Font"/>
    <w:qFormat/>
    <w:uiPriority w:val="1"/>
  </w:style>
  <w:style w:type="table" w:default="1" w:styleId="10">
    <w:name w:val="Normal Table"/>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0"/>
    <w:pPr>
      <w:spacing w:after="120"/>
    </w:pPr>
  </w:style>
  <w:style w:type="paragraph" w:styleId="6">
    <w:name w:val="Plain Text"/>
    <w:basedOn w:val="1"/>
    <w:next w:val="1"/>
    <w:qFormat/>
    <w:uiPriority w:val="0"/>
    <w:rPr>
      <w:rFonts w:ascii="宋体" w:hAnsi="Courier New" w:cs="Courier New"/>
      <w:szCs w:val="21"/>
    </w:rPr>
  </w:style>
  <w:style w:type="paragraph" w:styleId="7">
    <w:name w:val="footer"/>
    <w:basedOn w:val="1"/>
    <w:link w:val="14"/>
    <w:qFormat/>
    <w:uiPriority w:val="0"/>
    <w:pPr>
      <w:tabs>
        <w:tab w:val="center" w:pos="4153"/>
        <w:tab w:val="right" w:pos="8306"/>
      </w:tabs>
      <w:snapToGrid w:val="0"/>
      <w:jc w:val="left"/>
    </w:pPr>
    <w:rPr>
      <w:sz w:val="18"/>
      <w:szCs w:val="18"/>
    </w:rPr>
  </w:style>
  <w:style w:type="paragraph" w:styleId="8">
    <w:name w:val="header"/>
    <w:basedOn w:val="1"/>
    <w:link w:val="13"/>
    <w:qFormat/>
    <w:uiPriority w:val="0"/>
    <w:pP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jc w:val="left"/>
    </w:pPr>
    <w:rPr>
      <w:rFonts w:cs="Times New Roman"/>
      <w:kern w:val="0"/>
      <w:sz w:val="24"/>
    </w:rPr>
  </w:style>
  <w:style w:type="character" w:styleId="12">
    <w:name w:val="Strong"/>
    <w:basedOn w:val="11"/>
    <w:qFormat/>
    <w:uiPriority w:val="0"/>
    <w:rPr>
      <w:b/>
    </w:rPr>
  </w:style>
  <w:style w:type="character" w:customStyle="1" w:styleId="13">
    <w:name w:val="页眉 字符"/>
    <w:basedOn w:val="11"/>
    <w:link w:val="8"/>
    <w:qFormat/>
    <w:uiPriority w:val="0"/>
    <w:rPr>
      <w:rFonts w:ascii="Calibri" w:hAnsi="Calibri" w:eastAsia="宋体" w:cs="宋体"/>
      <w:kern w:val="2"/>
      <w:sz w:val="18"/>
      <w:szCs w:val="18"/>
    </w:rPr>
  </w:style>
  <w:style w:type="character" w:customStyle="1" w:styleId="14">
    <w:name w:val="页脚 字符"/>
    <w:basedOn w:val="11"/>
    <w:link w:val="7"/>
    <w:qFormat/>
    <w:uiPriority w:val="0"/>
    <w:rPr>
      <w:rFonts w:ascii="Calibri" w:hAnsi="Calibri" w:eastAsia="宋体" w:cs="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ontractReview xmlns="http://schemas.wps.cn/vas-ai-hub/contract-review">
  <reviewItems>
    <reviewItem>
      <errorID>0577dc2e-07bc-4d30-bb3a-6b78cd9affec</errorID>
      <errorWord>迟、降低</errorWord>
      <group>L1_Grammar</group>
      <groupName>语法问题</groupName>
      <ability>L2_Collocation</ability>
      <abilityName>搭配不当</abilityName>
      <candidateList>
        <item>迟</item>
      </candidateList>
      <explain>句子中可能存在主谓、动宾、定语中心语、状语中心语、补语中心语、关联词搭配不当等问题。</explain>
      <paraID>70994CC7</paraID>
      <start>47</start>
      <end>51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8a7507-9bd7-4663-9b2e-97cf02d5f960}">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5</Pages>
  <Words>1791</Words>
  <Characters>1924</Characters>
  <Paragraphs>93</Paragraphs>
  <TotalTime>10</TotalTime>
  <ScaleCrop>false</ScaleCrop>
  <LinksUpToDate>false</LinksUpToDate>
  <CharactersWithSpaces>1991</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2026-05-18T01:07:00Z</dcterms:created>
  <dc:creator>叁石</dc:creator>
  <cp:lastModifiedBy>舟铜铜( ´ ▽ ` )ﾉ</cp:lastModifiedBy>
  <dcterms:modified xsi:type="dcterms:W3CDTF">2026-08-04T09:47:09Z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CB6B33AC236F46C98DA799F019A09A04_13</vt:lpwstr>
  </property>
  <property fmtid="{D5CDD505-2E9C-101B-9397-08002B2CF9AE}" pid="4" name="KSOTemplateDocerSaveRecord">
    <vt:lpwstr>eyJoZGlkIjoiNjMxNjAxZWI1M2Q0NWVlOGVmNjk2ZGExN2I0MGM3ZDQiLCJ1c2VySWQiOiIyNjc2Nzg2NjUifQ==</vt:lpwstr>
  </property>
</Properties>
</file>