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bidi w:val="0"/>
        <w:adjustRightInd/>
        <w:spacing w:line="460" w:lineRule="exact"/>
        <w:ind w:leftChars="0"/>
        <w:jc w:val="center"/>
        <w:rPr>
          <w:rFonts w:hint="eastAsia"/>
          <w:color w:val="auto"/>
        </w:rPr>
      </w:pPr>
      <w:r>
        <w:rPr>
          <w:rFonts w:hint="eastAsia" w:ascii="方正小标宋简体" w:hAnsi="方正小标宋简体" w:eastAsia="方正小标宋简体" w:cs="方正小标宋简体"/>
          <w:color w:val="auto"/>
          <w:sz w:val="44"/>
          <w:szCs w:val="44"/>
          <w:u w:val="none"/>
          <w:lang w:val="en-US" w:eastAsia="zh-CN"/>
        </w:rPr>
        <w:t>卫生健康委员会</w:t>
      </w:r>
      <w:r>
        <w:rPr>
          <w:rFonts w:hint="eastAsia" w:ascii="方正小标宋简体" w:hAnsi="方正小标宋简体" w:eastAsia="方正小标宋简体" w:cs="方正小标宋简体"/>
          <w:color w:val="auto"/>
          <w:sz w:val="44"/>
          <w:szCs w:val="44"/>
        </w:rPr>
        <w:t>随机抽查事项清单</w:t>
      </w:r>
    </w:p>
    <w:p>
      <w:pPr>
        <w:keepNext w:val="0"/>
        <w:keepLines w:val="0"/>
        <w:pageBreakBefore w:val="0"/>
        <w:kinsoku/>
        <w:overflowPunct/>
        <w:topLinePunct w:val="0"/>
        <w:autoSpaceDE/>
        <w:bidi w:val="0"/>
        <w:adjustRightInd/>
        <w:spacing w:line="460" w:lineRule="exact"/>
        <w:jc w:val="both"/>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抽查类别：</w:t>
      </w:r>
      <w:r>
        <w:rPr>
          <w:rFonts w:hint="eastAsia" w:ascii="黑体" w:hAnsi="黑体" w:eastAsia="黑体" w:cs="黑体"/>
          <w:color w:val="auto"/>
          <w:sz w:val="24"/>
          <w:szCs w:val="24"/>
          <w:lang w:val="en-US" w:eastAsia="zh-CN"/>
        </w:rPr>
        <w:t>11项</w:t>
      </w:r>
    </w:p>
    <w:tbl>
      <w:tblPr>
        <w:tblStyle w:val="3"/>
        <w:tblW w:w="13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1425"/>
        <w:gridCol w:w="3795"/>
        <w:gridCol w:w="1365"/>
        <w:gridCol w:w="945"/>
        <w:gridCol w:w="1260"/>
        <w:gridCol w:w="1215"/>
        <w:gridCol w:w="3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3" w:type="dxa"/>
            <w:vMerge w:val="restart"/>
            <w:vAlign w:val="center"/>
          </w:tcPr>
          <w:p>
            <w:pPr>
              <w:jc w:val="center"/>
              <w:rPr>
                <w:rFonts w:ascii="黑体" w:hAnsi="黑体" w:eastAsia="黑体"/>
                <w:color w:val="auto"/>
                <w:sz w:val="24"/>
                <w:szCs w:val="32"/>
              </w:rPr>
            </w:pPr>
            <w:r>
              <w:rPr>
                <w:rFonts w:hint="eastAsia" w:ascii="黑体" w:hAnsi="黑体" w:eastAsia="黑体" w:cs="黑体"/>
                <w:color w:val="auto"/>
                <w:sz w:val="24"/>
                <w:szCs w:val="32"/>
              </w:rPr>
              <w:t>序号</w:t>
            </w:r>
          </w:p>
        </w:tc>
        <w:tc>
          <w:tcPr>
            <w:tcW w:w="5220" w:type="dxa"/>
            <w:gridSpan w:val="2"/>
            <w:vAlign w:val="center"/>
          </w:tcPr>
          <w:p>
            <w:pPr>
              <w:jc w:val="center"/>
              <w:rPr>
                <w:rFonts w:ascii="黑体" w:hAnsi="黑体" w:eastAsia="黑体"/>
                <w:color w:val="auto"/>
                <w:sz w:val="24"/>
                <w:szCs w:val="32"/>
              </w:rPr>
            </w:pPr>
            <w:r>
              <w:rPr>
                <w:rFonts w:hint="eastAsia" w:ascii="黑体" w:hAnsi="黑体" w:eastAsia="黑体" w:cs="黑体"/>
                <w:color w:val="auto"/>
                <w:sz w:val="24"/>
                <w:szCs w:val="32"/>
              </w:rPr>
              <w:t>抽查项目</w:t>
            </w:r>
          </w:p>
        </w:tc>
        <w:tc>
          <w:tcPr>
            <w:tcW w:w="1365" w:type="dxa"/>
            <w:vMerge w:val="restart"/>
            <w:vAlign w:val="center"/>
          </w:tcPr>
          <w:p>
            <w:pPr>
              <w:jc w:val="center"/>
              <w:rPr>
                <w:rFonts w:ascii="黑体" w:hAnsi="黑体" w:eastAsia="黑体"/>
                <w:color w:val="auto"/>
                <w:sz w:val="24"/>
                <w:szCs w:val="32"/>
              </w:rPr>
            </w:pPr>
            <w:r>
              <w:rPr>
                <w:rFonts w:hint="eastAsia" w:ascii="黑体" w:hAnsi="黑体" w:eastAsia="黑体" w:cs="黑体"/>
                <w:color w:val="auto"/>
                <w:sz w:val="24"/>
                <w:szCs w:val="32"/>
              </w:rPr>
              <w:t>检查对象</w:t>
            </w:r>
          </w:p>
        </w:tc>
        <w:tc>
          <w:tcPr>
            <w:tcW w:w="945" w:type="dxa"/>
            <w:vMerge w:val="restart"/>
            <w:vAlign w:val="center"/>
          </w:tcPr>
          <w:p>
            <w:pPr>
              <w:jc w:val="center"/>
              <w:rPr>
                <w:rFonts w:hint="eastAsia" w:ascii="黑体" w:hAnsi="黑体" w:eastAsia="黑体" w:cs="黑体"/>
                <w:color w:val="auto"/>
                <w:sz w:val="24"/>
                <w:szCs w:val="32"/>
              </w:rPr>
            </w:pPr>
            <w:r>
              <w:rPr>
                <w:rFonts w:hint="eastAsia" w:ascii="黑体" w:hAnsi="黑体" w:eastAsia="黑体" w:cs="黑体"/>
                <w:color w:val="auto"/>
                <w:sz w:val="24"/>
                <w:szCs w:val="32"/>
              </w:rPr>
              <w:t>事项</w:t>
            </w:r>
          </w:p>
          <w:p>
            <w:pPr>
              <w:jc w:val="center"/>
              <w:rPr>
                <w:rFonts w:ascii="黑体" w:hAnsi="黑体" w:eastAsia="黑体"/>
                <w:color w:val="auto"/>
                <w:sz w:val="24"/>
                <w:szCs w:val="32"/>
              </w:rPr>
            </w:pPr>
            <w:r>
              <w:rPr>
                <w:rFonts w:hint="eastAsia" w:ascii="黑体" w:hAnsi="黑体" w:eastAsia="黑体" w:cs="黑体"/>
                <w:color w:val="auto"/>
                <w:sz w:val="24"/>
                <w:szCs w:val="32"/>
              </w:rPr>
              <w:t>类型</w:t>
            </w:r>
          </w:p>
        </w:tc>
        <w:tc>
          <w:tcPr>
            <w:tcW w:w="1260" w:type="dxa"/>
            <w:vMerge w:val="restart"/>
            <w:vAlign w:val="center"/>
          </w:tcPr>
          <w:p>
            <w:pPr>
              <w:jc w:val="center"/>
              <w:rPr>
                <w:rFonts w:ascii="黑体" w:hAnsi="黑体" w:eastAsia="黑体"/>
                <w:color w:val="auto"/>
                <w:sz w:val="24"/>
                <w:szCs w:val="32"/>
              </w:rPr>
            </w:pPr>
            <w:r>
              <w:rPr>
                <w:rFonts w:hint="eastAsia" w:ascii="黑体" w:hAnsi="黑体" w:eastAsia="黑体" w:cs="黑体"/>
                <w:color w:val="auto"/>
                <w:sz w:val="24"/>
                <w:szCs w:val="32"/>
              </w:rPr>
              <w:t>检查方式</w:t>
            </w:r>
          </w:p>
        </w:tc>
        <w:tc>
          <w:tcPr>
            <w:tcW w:w="1215" w:type="dxa"/>
            <w:vMerge w:val="restart"/>
            <w:vAlign w:val="center"/>
          </w:tcPr>
          <w:p>
            <w:pPr>
              <w:jc w:val="center"/>
              <w:rPr>
                <w:rFonts w:ascii="黑体" w:hAnsi="黑体" w:eastAsia="黑体"/>
                <w:color w:val="auto"/>
                <w:sz w:val="24"/>
                <w:szCs w:val="32"/>
              </w:rPr>
            </w:pPr>
            <w:r>
              <w:rPr>
                <w:rFonts w:hint="eastAsia" w:ascii="黑体" w:hAnsi="黑体" w:eastAsia="黑体" w:cs="黑体"/>
                <w:color w:val="auto"/>
                <w:sz w:val="24"/>
                <w:szCs w:val="32"/>
              </w:rPr>
              <w:t>检查主体</w:t>
            </w:r>
          </w:p>
        </w:tc>
        <w:tc>
          <w:tcPr>
            <w:tcW w:w="3320" w:type="dxa"/>
            <w:vMerge w:val="restart"/>
            <w:vAlign w:val="center"/>
          </w:tcPr>
          <w:p>
            <w:pPr>
              <w:jc w:val="center"/>
              <w:rPr>
                <w:rFonts w:ascii="黑体" w:hAnsi="黑体" w:eastAsia="黑体"/>
                <w:color w:val="auto"/>
                <w:sz w:val="24"/>
                <w:szCs w:val="32"/>
              </w:rPr>
            </w:pPr>
            <w:r>
              <w:rPr>
                <w:rFonts w:hint="eastAsia" w:ascii="黑体" w:hAnsi="黑体" w:eastAsia="黑体" w:cs="黑体"/>
                <w:color w:val="auto"/>
                <w:sz w:val="24"/>
                <w:szCs w:val="32"/>
              </w:rPr>
              <w:t>检查依据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583" w:type="dxa"/>
            <w:vMerge w:val="continue"/>
            <w:vAlign w:val="center"/>
          </w:tcPr>
          <w:p>
            <w:pPr>
              <w:jc w:val="center"/>
              <w:rPr>
                <w:color w:val="auto"/>
                <w:sz w:val="22"/>
                <w:szCs w:val="22"/>
              </w:rPr>
            </w:pPr>
          </w:p>
        </w:tc>
        <w:tc>
          <w:tcPr>
            <w:tcW w:w="1425" w:type="dxa"/>
            <w:vAlign w:val="center"/>
          </w:tcPr>
          <w:p>
            <w:pPr>
              <w:jc w:val="center"/>
              <w:rPr>
                <w:rFonts w:ascii="宋体"/>
                <w:color w:val="auto"/>
                <w:sz w:val="24"/>
                <w:szCs w:val="32"/>
              </w:rPr>
            </w:pPr>
            <w:r>
              <w:rPr>
                <w:rFonts w:hint="eastAsia" w:ascii="宋体" w:hAnsi="宋体" w:cs="宋体"/>
                <w:color w:val="auto"/>
                <w:sz w:val="24"/>
                <w:szCs w:val="32"/>
              </w:rPr>
              <w:t>抽查类别</w:t>
            </w:r>
          </w:p>
        </w:tc>
        <w:tc>
          <w:tcPr>
            <w:tcW w:w="3795" w:type="dxa"/>
            <w:vAlign w:val="center"/>
          </w:tcPr>
          <w:p>
            <w:pPr>
              <w:jc w:val="center"/>
              <w:rPr>
                <w:rFonts w:ascii="宋体"/>
                <w:color w:val="auto"/>
                <w:sz w:val="24"/>
                <w:szCs w:val="32"/>
              </w:rPr>
            </w:pPr>
            <w:r>
              <w:rPr>
                <w:rFonts w:hint="eastAsia" w:ascii="宋体" w:hAnsi="宋体" w:cs="宋体"/>
                <w:color w:val="auto"/>
                <w:sz w:val="24"/>
                <w:szCs w:val="32"/>
              </w:rPr>
              <w:t>抽查事项</w:t>
            </w:r>
          </w:p>
        </w:tc>
        <w:tc>
          <w:tcPr>
            <w:tcW w:w="1365" w:type="dxa"/>
            <w:vMerge w:val="continue"/>
            <w:vAlign w:val="center"/>
          </w:tcPr>
          <w:p>
            <w:pPr>
              <w:rPr>
                <w:color w:val="auto"/>
                <w:sz w:val="28"/>
                <w:szCs w:val="28"/>
              </w:rPr>
            </w:pPr>
          </w:p>
        </w:tc>
        <w:tc>
          <w:tcPr>
            <w:tcW w:w="945" w:type="dxa"/>
            <w:vMerge w:val="continue"/>
            <w:vAlign w:val="top"/>
          </w:tcPr>
          <w:p>
            <w:pPr>
              <w:rPr>
                <w:color w:val="auto"/>
                <w:sz w:val="28"/>
                <w:szCs w:val="28"/>
              </w:rPr>
            </w:pPr>
          </w:p>
        </w:tc>
        <w:tc>
          <w:tcPr>
            <w:tcW w:w="1260" w:type="dxa"/>
            <w:vMerge w:val="continue"/>
            <w:vAlign w:val="top"/>
          </w:tcPr>
          <w:p>
            <w:pPr>
              <w:rPr>
                <w:color w:val="auto"/>
                <w:sz w:val="28"/>
                <w:szCs w:val="28"/>
              </w:rPr>
            </w:pPr>
          </w:p>
        </w:tc>
        <w:tc>
          <w:tcPr>
            <w:tcW w:w="1215" w:type="dxa"/>
            <w:vMerge w:val="continue"/>
            <w:vAlign w:val="top"/>
          </w:tcPr>
          <w:p>
            <w:pPr>
              <w:rPr>
                <w:color w:val="auto"/>
                <w:sz w:val="28"/>
                <w:szCs w:val="28"/>
              </w:rPr>
            </w:pPr>
          </w:p>
        </w:tc>
        <w:tc>
          <w:tcPr>
            <w:tcW w:w="3320" w:type="dxa"/>
            <w:vMerge w:val="continue"/>
            <w:vAlign w:val="top"/>
          </w:tcPr>
          <w:p>
            <w:pPr>
              <w:jc w:val="cente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583" w:type="dxa"/>
            <w:vAlign w:val="center"/>
          </w:tcPr>
          <w:p>
            <w:pPr>
              <w:jc w:val="center"/>
              <w:rPr>
                <w:rFonts w:hint="eastAsia" w:ascii="宋体" w:eastAsia="宋体"/>
                <w:color w:val="auto"/>
                <w:sz w:val="24"/>
                <w:szCs w:val="32"/>
                <w:lang w:val="en-US" w:eastAsia="zh-CN"/>
              </w:rPr>
            </w:pPr>
            <w:r>
              <w:rPr>
                <w:rFonts w:hint="eastAsia" w:ascii="宋体"/>
                <w:color w:val="auto"/>
                <w:sz w:val="24"/>
                <w:szCs w:val="32"/>
                <w:lang w:val="en-US" w:eastAsia="zh-CN"/>
              </w:rPr>
              <w:t>1</w:t>
            </w:r>
          </w:p>
        </w:tc>
        <w:tc>
          <w:tcPr>
            <w:tcW w:w="1425" w:type="dxa"/>
            <w:vAlign w:val="center"/>
          </w:tcPr>
          <w:p>
            <w:pPr>
              <w:spacing w:line="260" w:lineRule="exact"/>
              <w:jc w:val="center"/>
              <w:rPr>
                <w:rFonts w:hint="default" w:ascii="宋体" w:eastAsia="宋体"/>
                <w:color w:val="auto"/>
                <w:sz w:val="24"/>
                <w:szCs w:val="32"/>
                <w:lang w:val="en-US" w:eastAsia="zh-CN"/>
              </w:rPr>
            </w:pPr>
            <w:r>
              <w:rPr>
                <w:rFonts w:hint="eastAsia" w:ascii="宋体"/>
                <w:color w:val="auto"/>
                <w:sz w:val="24"/>
                <w:szCs w:val="32"/>
                <w:lang w:val="en-US" w:eastAsia="zh-CN"/>
              </w:rPr>
              <w:t>公共场所卫生监督</w:t>
            </w:r>
          </w:p>
        </w:tc>
        <w:tc>
          <w:tcPr>
            <w:tcW w:w="3795" w:type="dxa"/>
            <w:vAlign w:val="center"/>
          </w:tcPr>
          <w:p>
            <w:pPr>
              <w:spacing w:line="260" w:lineRule="exact"/>
              <w:rPr>
                <w:rFonts w:hint="default" w:ascii="宋体" w:eastAsia="宋体"/>
                <w:color w:val="auto"/>
                <w:sz w:val="24"/>
                <w:szCs w:val="32"/>
                <w:lang w:val="en-US" w:eastAsia="zh-CN"/>
              </w:rPr>
            </w:pPr>
            <w:r>
              <w:rPr>
                <w:rFonts w:hint="eastAsia" w:ascii="宋体" w:hAnsi="宋体" w:cs="宋体"/>
                <w:color w:val="auto"/>
                <w:sz w:val="24"/>
              </w:rPr>
              <w:t>对公共场所卫生许可情况、从业人员健康情况、卫生管理制度落实情况等开展监督检查；开展公共场所卫生监督抽检。</w:t>
            </w:r>
          </w:p>
        </w:tc>
        <w:tc>
          <w:tcPr>
            <w:tcW w:w="1365" w:type="dxa"/>
            <w:vAlign w:val="center"/>
          </w:tcPr>
          <w:p>
            <w:pPr>
              <w:spacing w:line="260" w:lineRule="exact"/>
              <w:rPr>
                <w:rFonts w:hint="default" w:ascii="宋体" w:eastAsia="宋体"/>
                <w:color w:val="auto"/>
                <w:sz w:val="24"/>
                <w:szCs w:val="32"/>
                <w:lang w:val="en-US" w:eastAsia="zh-CN"/>
              </w:rPr>
            </w:pPr>
            <w:r>
              <w:rPr>
                <w:rFonts w:hint="eastAsia" w:ascii="宋体"/>
                <w:color w:val="auto"/>
                <w:sz w:val="24"/>
                <w:szCs w:val="32"/>
                <w:lang w:val="en-US" w:eastAsia="zh-CN"/>
              </w:rPr>
              <w:t>公共场所</w:t>
            </w:r>
          </w:p>
        </w:tc>
        <w:tc>
          <w:tcPr>
            <w:tcW w:w="945" w:type="dxa"/>
            <w:vAlign w:val="center"/>
          </w:tcPr>
          <w:p>
            <w:pPr>
              <w:spacing w:line="260" w:lineRule="exact"/>
              <w:rPr>
                <w:rFonts w:hint="default" w:ascii="宋体" w:eastAsia="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default" w:ascii="宋体" w:eastAsia="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default" w:ascii="宋体" w:eastAsia="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ascii="宋体"/>
                <w:color w:val="auto"/>
                <w:sz w:val="24"/>
                <w:szCs w:val="32"/>
              </w:rPr>
            </w:pPr>
            <w:r>
              <w:rPr>
                <w:rFonts w:hint="eastAsia" w:ascii="宋体" w:hAnsi="宋体" w:cs="宋体"/>
                <w:color w:val="auto"/>
                <w:sz w:val="24"/>
              </w:rPr>
              <w:t>【法律法规】《公共场所卫生管理条例》、《公共场所卫生管理条例实施细则》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2</w:t>
            </w:r>
          </w:p>
        </w:tc>
        <w:tc>
          <w:tcPr>
            <w:tcW w:w="1425" w:type="dxa"/>
            <w:vAlign w:val="center"/>
          </w:tcPr>
          <w:p>
            <w:pPr>
              <w:spacing w:line="260" w:lineRule="exact"/>
              <w:jc w:val="center"/>
              <w:rPr>
                <w:rFonts w:hint="default" w:ascii="宋体"/>
                <w:color w:val="auto"/>
                <w:sz w:val="24"/>
                <w:szCs w:val="32"/>
                <w:lang w:val="en-US" w:eastAsia="zh-CN"/>
              </w:rPr>
            </w:pPr>
            <w:r>
              <w:rPr>
                <w:rFonts w:hint="eastAsia" w:ascii="宋体"/>
                <w:color w:val="auto"/>
                <w:sz w:val="24"/>
                <w:szCs w:val="32"/>
                <w:lang w:val="en-US" w:eastAsia="zh-CN"/>
              </w:rPr>
              <w:t>医疗卫生监督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医疗机构及其从业人员的执业活动。</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医疗机构</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ascii="宋体" w:hAnsi="宋体" w:cs="宋体"/>
                <w:color w:val="auto"/>
                <w:sz w:val="24"/>
              </w:rPr>
              <w:t>【法律法规】《中华人民共和国执业医师法》、《医疗机构管理条例》、《护士条例》、《中华人民共和国献血法》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3</w:t>
            </w:r>
          </w:p>
        </w:tc>
        <w:tc>
          <w:tcPr>
            <w:tcW w:w="1425" w:type="dxa"/>
            <w:vAlign w:val="center"/>
          </w:tcPr>
          <w:p>
            <w:pPr>
              <w:spacing w:line="260" w:lineRule="exact"/>
              <w:jc w:val="center"/>
              <w:rPr>
                <w:rFonts w:hint="default" w:ascii="宋体"/>
                <w:color w:val="auto"/>
                <w:sz w:val="24"/>
                <w:szCs w:val="32"/>
                <w:lang w:val="en-US" w:eastAsia="zh-CN"/>
              </w:rPr>
            </w:pPr>
            <w:r>
              <w:rPr>
                <w:rFonts w:hint="eastAsia" w:ascii="宋体"/>
                <w:color w:val="auto"/>
                <w:sz w:val="24"/>
                <w:szCs w:val="32"/>
                <w:lang w:val="en-US" w:eastAsia="zh-CN"/>
              </w:rPr>
              <w:t>放射卫生监督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对放射诊疗许可、校验、变更情况；放射工作人员健康监护、放射诊疗设备、安全防护装置、辐射检测仪器和个人防护用品配备情况；放射卫生技术服务机构依法开展放射卫生技术服务情况等开展监督检查。</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放射诊疗单位、放射卫生技术服务机构</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bookmarkStart w:id="0" w:name="_GoBack"/>
            <w:bookmarkEnd w:id="0"/>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ascii="宋体" w:hAnsi="宋体" w:cs="宋体"/>
                <w:color w:val="auto"/>
                <w:sz w:val="24"/>
              </w:rPr>
              <w:t>【法律法规】《放射诊疗管理规定》、《中华人民共和国职业病防治法》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4</w:t>
            </w:r>
          </w:p>
        </w:tc>
        <w:tc>
          <w:tcPr>
            <w:tcW w:w="1425" w:type="dxa"/>
            <w:vAlign w:val="center"/>
          </w:tcPr>
          <w:p>
            <w:pPr>
              <w:spacing w:line="260" w:lineRule="exact"/>
              <w:jc w:val="center"/>
              <w:rPr>
                <w:rFonts w:hint="default" w:ascii="宋体"/>
                <w:color w:val="auto"/>
                <w:sz w:val="24"/>
                <w:szCs w:val="32"/>
                <w:lang w:val="en-US" w:eastAsia="zh-CN"/>
              </w:rPr>
            </w:pPr>
            <w:r>
              <w:rPr>
                <w:rFonts w:hint="eastAsia" w:ascii="宋体"/>
                <w:color w:val="auto"/>
                <w:sz w:val="24"/>
                <w:szCs w:val="32"/>
                <w:lang w:val="en-US" w:eastAsia="zh-CN"/>
              </w:rPr>
              <w:t>学校卫生监督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对学校的教学及生活环境、传染病防控工作、生活饮用水、学校内设医疗机构和保健室开展卫生监督检查。</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学校</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ascii="宋体" w:hAnsi="宋体" w:cs="宋体"/>
                <w:color w:val="auto"/>
                <w:sz w:val="24"/>
              </w:rPr>
              <w:t>【法律法规】《学校卫生工作条例》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5</w:t>
            </w:r>
          </w:p>
        </w:tc>
        <w:tc>
          <w:tcPr>
            <w:tcW w:w="1425" w:type="dxa"/>
            <w:vAlign w:val="center"/>
          </w:tcPr>
          <w:p>
            <w:pPr>
              <w:spacing w:line="260" w:lineRule="exact"/>
              <w:jc w:val="center"/>
              <w:rPr>
                <w:rFonts w:hint="default" w:ascii="宋体"/>
                <w:color w:val="auto"/>
                <w:sz w:val="24"/>
                <w:szCs w:val="32"/>
                <w:lang w:val="en-US" w:eastAsia="zh-CN"/>
              </w:rPr>
            </w:pPr>
            <w:r>
              <w:rPr>
                <w:rFonts w:hint="eastAsia" w:ascii="宋体"/>
                <w:color w:val="auto"/>
                <w:sz w:val="24"/>
                <w:szCs w:val="32"/>
                <w:lang w:val="en-US" w:eastAsia="zh-CN"/>
              </w:rPr>
              <w:t>传染病防治卫生监督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对医疗卫生机构（疾控机构、医疗机构、采供血机构）预防接种、传染病疫情报告、传染病疫情控制措施、消毒隔离制度执行情况、医疗废物处置及病原微生物实验室生物安全管理情况等开展卫生监督检查。</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医疗卫生机构（包括疾控机构、医疗机构、采供血机构）</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ascii="宋体" w:hAnsi="宋体" w:cs="宋体"/>
                <w:color w:val="auto"/>
                <w:sz w:val="24"/>
              </w:rPr>
              <w:t>【法律法规】《中华人民共和国传染病防治法》、《消毒管理办法》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6</w:t>
            </w:r>
          </w:p>
        </w:tc>
        <w:tc>
          <w:tcPr>
            <w:tcW w:w="1425" w:type="dxa"/>
            <w:vAlign w:val="center"/>
          </w:tcPr>
          <w:p>
            <w:pPr>
              <w:spacing w:line="260" w:lineRule="exact"/>
              <w:jc w:val="center"/>
              <w:rPr>
                <w:rFonts w:hint="default" w:ascii="宋体"/>
                <w:color w:val="auto"/>
                <w:sz w:val="24"/>
                <w:szCs w:val="32"/>
                <w:lang w:val="en-US" w:eastAsia="zh-CN"/>
              </w:rPr>
            </w:pPr>
            <w:r>
              <w:rPr>
                <w:rFonts w:hint="eastAsia" w:ascii="宋体"/>
                <w:color w:val="auto"/>
                <w:sz w:val="24"/>
                <w:szCs w:val="32"/>
                <w:lang w:val="en-US" w:eastAsia="zh-CN"/>
              </w:rPr>
              <w:t>妇幼健康卫生监督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对从事计划生育技术服务的机构人员、非医学需要的胎儿性别鉴定行为、选择性别的人工终止妊娠行为的监督检查。</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计划生育服务机构</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ascii="宋体" w:hAnsi="宋体" w:cs="宋体"/>
                <w:color w:val="auto"/>
                <w:sz w:val="24"/>
              </w:rPr>
              <w:t>【法律法规】《中华人民共和国人口与计划生育法》、《计划生育技术服务管理条例》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7</w:t>
            </w:r>
          </w:p>
        </w:tc>
        <w:tc>
          <w:tcPr>
            <w:tcW w:w="1425" w:type="dxa"/>
            <w:vAlign w:val="center"/>
          </w:tcPr>
          <w:p>
            <w:pPr>
              <w:spacing w:line="260" w:lineRule="exact"/>
              <w:jc w:val="center"/>
              <w:rPr>
                <w:rFonts w:hint="default" w:ascii="宋体"/>
                <w:color w:val="auto"/>
                <w:sz w:val="24"/>
                <w:szCs w:val="32"/>
                <w:lang w:val="en-US" w:eastAsia="zh-CN"/>
              </w:rPr>
            </w:pPr>
            <w:r>
              <w:rPr>
                <w:rFonts w:hint="eastAsia" w:ascii="宋体"/>
                <w:color w:val="auto"/>
                <w:sz w:val="24"/>
                <w:szCs w:val="32"/>
                <w:lang w:val="en-US" w:eastAsia="zh-CN"/>
              </w:rPr>
              <w:t>生活饮用水卫生监督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对供水单位卫生许可情况、从业人员健康情况、卫生管理制度落实情况开展监督检查；对涉及饮用水卫生安全产品开展监督检查；对生活饮用水、涉水产品开展卫生监督抽检。</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供水单位</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ascii="宋体" w:hAnsi="宋体" w:cs="宋体"/>
                <w:color w:val="auto"/>
                <w:sz w:val="24"/>
              </w:rPr>
              <w:t>【法律法规】《生活饮用水卫生监督管理办法》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0"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8</w:t>
            </w:r>
          </w:p>
        </w:tc>
        <w:tc>
          <w:tcPr>
            <w:tcW w:w="1425" w:type="dxa"/>
            <w:vAlign w:val="center"/>
          </w:tcPr>
          <w:p>
            <w:pPr>
              <w:spacing w:line="260" w:lineRule="exact"/>
              <w:jc w:val="center"/>
              <w:rPr>
                <w:rFonts w:hint="eastAsia" w:ascii="宋体"/>
                <w:color w:val="auto"/>
                <w:sz w:val="24"/>
                <w:szCs w:val="32"/>
                <w:lang w:val="en-US" w:eastAsia="zh-CN"/>
              </w:rPr>
            </w:pPr>
            <w:r>
              <w:rPr>
                <w:rFonts w:hint="eastAsia" w:ascii="宋体" w:hAnsi="宋体" w:cs="宋体"/>
                <w:color w:val="auto"/>
                <w:sz w:val="24"/>
              </w:rPr>
              <w:t>餐具、饮具集中消毒服务单位卫生监督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对餐具、饮具集中消毒服务单位的作业场所、清洗消毒设备设施、生产用水、使用的洗涤剂消毒剂、消毒后的餐饮具进行逐批检验情况、出厂的餐饮具随附消毒合格证明情况、出厂餐饮具按规定在独立包装上标注相关内容情况等开展监督检查。</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餐具、饮具集中消毒服务单位</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ascii="宋体" w:hAnsi="宋体" w:cs="宋体"/>
                <w:color w:val="auto"/>
                <w:sz w:val="24"/>
              </w:rPr>
              <w:t>【法律法规】《中华人民共和国食品安全法》、《消毒管理办法》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2"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9</w:t>
            </w:r>
          </w:p>
        </w:tc>
        <w:tc>
          <w:tcPr>
            <w:tcW w:w="1425" w:type="dxa"/>
            <w:vAlign w:val="center"/>
          </w:tcPr>
          <w:p>
            <w:pPr>
              <w:spacing w:line="26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职业卫生监督</w:t>
            </w:r>
          </w:p>
        </w:tc>
        <w:tc>
          <w:tcPr>
            <w:tcW w:w="3795" w:type="dxa"/>
            <w:vAlign w:val="center"/>
          </w:tcPr>
          <w:p>
            <w:pPr>
              <w:spacing w:line="260" w:lineRule="exact"/>
              <w:rPr>
                <w:rFonts w:hint="eastAsia" w:ascii="宋体" w:hAnsi="宋体" w:cs="宋体"/>
                <w:color w:val="auto"/>
                <w:sz w:val="24"/>
              </w:rPr>
            </w:pPr>
            <w:r>
              <w:rPr>
                <w:rFonts w:hint="eastAsia" w:ascii="宋体" w:hAnsi="宋体" w:cs="宋体"/>
                <w:color w:val="auto"/>
                <w:sz w:val="24"/>
              </w:rPr>
              <w:t>对承担职业健康检查、职业病诊断的医疗卫生机构监督管理。</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职业健康检查、职业病诊断机构</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ascii="宋体" w:hAnsi="宋体" w:cs="宋体"/>
                <w:color w:val="auto"/>
                <w:sz w:val="24"/>
              </w:rPr>
            </w:pPr>
            <w:r>
              <w:rPr>
                <w:rFonts w:hint="eastAsia"/>
                <w:b w:val="0"/>
                <w:bCs w:val="0"/>
                <w:color w:val="auto"/>
                <w:kern w:val="2"/>
                <w:sz w:val="24"/>
                <w:szCs w:val="24"/>
              </w:rPr>
              <w:t>【法律法规】《中华人民共和国职业病防治法》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10</w:t>
            </w:r>
          </w:p>
        </w:tc>
        <w:tc>
          <w:tcPr>
            <w:tcW w:w="1425" w:type="dxa"/>
            <w:vAlign w:val="center"/>
          </w:tcPr>
          <w:p>
            <w:pPr>
              <w:spacing w:line="2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血液安全卫生监督</w:t>
            </w:r>
          </w:p>
        </w:tc>
        <w:tc>
          <w:tcPr>
            <w:tcW w:w="3795" w:type="dxa"/>
            <w:vAlign w:val="center"/>
          </w:tcPr>
          <w:p>
            <w:pPr>
              <w:spacing w:line="260" w:lineRule="exact"/>
              <w:rPr>
                <w:rFonts w:ascii="宋体" w:hAnsi="宋体" w:cs="宋体"/>
                <w:color w:val="auto"/>
                <w:sz w:val="24"/>
              </w:rPr>
            </w:pPr>
            <w:r>
              <w:rPr>
                <w:rFonts w:hint="eastAsia" w:ascii="宋体" w:hAnsi="宋体" w:cs="宋体"/>
                <w:color w:val="auto"/>
                <w:sz w:val="24"/>
              </w:rPr>
              <w:t>对采供血机构血液安全管理情况进行卫生监督检查。</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采供血机构</w:t>
            </w:r>
          </w:p>
        </w:tc>
        <w:tc>
          <w:tcPr>
            <w:tcW w:w="94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rPr>
                <w:rFonts w:hint="eastAsia"/>
                <w:b w:val="0"/>
                <w:bCs w:val="0"/>
                <w:color w:val="auto"/>
                <w:kern w:val="2"/>
                <w:sz w:val="24"/>
                <w:szCs w:val="24"/>
              </w:rPr>
            </w:pPr>
            <w:r>
              <w:rPr>
                <w:rFonts w:hint="eastAsia" w:ascii="宋体" w:hAnsi="宋体" w:cs="宋体"/>
                <w:color w:val="auto"/>
                <w:sz w:val="24"/>
              </w:rPr>
              <w:t>【法律法规】《血液制品管理条例》、《血站管理办法》、《单采血浆站管理办法》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7" w:hRule="atLeast"/>
          <w:jc w:val="center"/>
        </w:trPr>
        <w:tc>
          <w:tcPr>
            <w:tcW w:w="583" w:type="dxa"/>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11</w:t>
            </w:r>
          </w:p>
        </w:tc>
        <w:tc>
          <w:tcPr>
            <w:tcW w:w="1425" w:type="dxa"/>
            <w:vAlign w:val="center"/>
          </w:tcPr>
          <w:p>
            <w:pPr>
              <w:spacing w:line="26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消毒产品卫生监督</w:t>
            </w:r>
          </w:p>
        </w:tc>
        <w:tc>
          <w:tcPr>
            <w:tcW w:w="3795" w:type="dxa"/>
            <w:vAlign w:val="center"/>
          </w:tcPr>
          <w:p>
            <w:pPr>
              <w:spacing w:line="260" w:lineRule="exact"/>
              <w:rPr>
                <w:rFonts w:hint="default" w:ascii="宋体" w:hAnsi="宋体" w:eastAsia="宋体" w:cs="宋体"/>
                <w:color w:val="auto"/>
                <w:sz w:val="24"/>
                <w:lang w:val="en-US" w:eastAsia="zh-CN"/>
              </w:rPr>
            </w:pPr>
            <w:r>
              <w:rPr>
                <w:rFonts w:hint="eastAsia" w:ascii="宋体" w:hAnsi="宋体" w:cs="宋体"/>
                <w:color w:val="auto"/>
                <w:sz w:val="24"/>
                <w:lang w:val="en-US" w:eastAsia="zh-CN"/>
              </w:rPr>
              <w:t>对消毒产品生产、经营、使用单位进行卫生监督检查。</w:t>
            </w:r>
          </w:p>
        </w:tc>
        <w:tc>
          <w:tcPr>
            <w:tcW w:w="136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消毒产品生产、经营、使用单位</w:t>
            </w:r>
          </w:p>
        </w:tc>
        <w:tc>
          <w:tcPr>
            <w:tcW w:w="94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一般检查事项</w:t>
            </w:r>
          </w:p>
        </w:tc>
        <w:tc>
          <w:tcPr>
            <w:tcW w:w="1260"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现场检查</w:t>
            </w:r>
          </w:p>
        </w:tc>
        <w:tc>
          <w:tcPr>
            <w:tcW w:w="1215" w:type="dxa"/>
            <w:vAlign w:val="center"/>
          </w:tcPr>
          <w:p>
            <w:pPr>
              <w:spacing w:line="260" w:lineRule="exact"/>
              <w:rPr>
                <w:rFonts w:hint="default" w:ascii="宋体"/>
                <w:color w:val="auto"/>
                <w:sz w:val="24"/>
                <w:szCs w:val="32"/>
                <w:lang w:val="en-US" w:eastAsia="zh-CN"/>
              </w:rPr>
            </w:pPr>
            <w:r>
              <w:rPr>
                <w:rFonts w:hint="eastAsia" w:ascii="宋体"/>
                <w:color w:val="auto"/>
                <w:sz w:val="24"/>
                <w:szCs w:val="32"/>
                <w:lang w:val="en-US" w:eastAsia="zh-CN"/>
              </w:rPr>
              <w:t>柳州市卫生健康委员会</w:t>
            </w:r>
          </w:p>
        </w:tc>
        <w:tc>
          <w:tcPr>
            <w:tcW w:w="3320" w:type="dxa"/>
            <w:vAlign w:val="center"/>
          </w:tcPr>
          <w:p>
            <w:pPr>
              <w:spacing w:line="260" w:lineRule="exact"/>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rPr>
              <w:t>【法律法规】</w:t>
            </w:r>
            <w:r>
              <w:rPr>
                <w:rFonts w:hint="eastAsia" w:ascii="宋体" w:hAnsi="宋体" w:eastAsia="宋体" w:cs="宋体"/>
                <w:color w:val="auto"/>
                <w:sz w:val="24"/>
                <w:szCs w:val="24"/>
                <w:highlight w:val="none"/>
                <w:lang w:val="en-US" w:eastAsia="zh-CN"/>
              </w:rPr>
              <w:t>《传染病防治法》、</w:t>
            </w:r>
          </w:p>
          <w:p>
            <w:pPr>
              <w:spacing w:line="260" w:lineRule="exact"/>
              <w:rPr>
                <w:rFonts w:hint="eastAsia" w:ascii="宋体" w:hAnsi="宋体" w:cs="宋体"/>
                <w:color w:val="auto"/>
                <w:sz w:val="24"/>
              </w:rPr>
            </w:pPr>
            <w:r>
              <w:rPr>
                <w:rFonts w:hint="eastAsia" w:ascii="宋体" w:hAnsi="宋体" w:eastAsia="宋体" w:cs="宋体"/>
                <w:color w:val="auto"/>
                <w:sz w:val="24"/>
                <w:szCs w:val="24"/>
                <w:highlight w:val="none"/>
                <w:lang w:val="en-US" w:eastAsia="zh-CN"/>
              </w:rPr>
              <w:t>《消毒产品管理办法》</w:t>
            </w:r>
          </w:p>
        </w:tc>
      </w:tr>
    </w:tbl>
    <w:p>
      <w:pPr>
        <w:keepNext w:val="0"/>
        <w:keepLines w:val="0"/>
        <w:pageBreakBefore w:val="0"/>
        <w:numPr>
          <w:ilvl w:val="0"/>
          <w:numId w:val="0"/>
        </w:numPr>
        <w:kinsoku/>
        <w:overflowPunct/>
        <w:topLinePunct w:val="0"/>
        <w:autoSpaceDE/>
        <w:bidi w:val="0"/>
        <w:adjustRightInd/>
        <w:spacing w:line="460" w:lineRule="exact"/>
        <w:jc w:val="both"/>
        <w:rPr>
          <w:rFonts w:hint="eastAsia" w:ascii="方正小标宋简体" w:hAnsi="方正小标宋简体" w:eastAsia="方正小标宋简体" w:cs="方正小标宋简体"/>
          <w:color w:val="auto"/>
          <w:sz w:val="44"/>
          <w:szCs w:val="44"/>
          <w:u w:val="none"/>
          <w:lang w:val="en-US"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ency FB">
    <w:panose1 w:val="020B0503020202020204"/>
    <w:charset w:val="00"/>
    <w:family w:val="swiss"/>
    <w:pitch w:val="default"/>
    <w:sig w:usb0="00000003"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17F36"/>
    <w:rsid w:val="10C17F36"/>
    <w:rsid w:val="35AD145B"/>
    <w:rsid w:val="5EDD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gency FB" w:hAnsi="Agency FB"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2020-10-29T08:09:00Z</dcterms:created>
  <dc:creator>银莹</dc:creator>
  <cp:lastModifiedBy>天生励志</cp:lastModifiedBy>
  <dcterms:modified xsi:type="dcterms:W3CDTF">2021-09-22T07:35:02Z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2874FE5113754E44831C623F8AE21765</vt:lpwstr>
  </property>
</Properties>
</file>