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Autospacing="0" w:line="560" w:lineRule="exact"/>
        <w:jc w:val="left"/>
        <w:textAlignment w:val="auto"/>
        <w:rPr>
          <w:rFonts w:ascii="Times New Roman" w:hAnsi="Times New Roman" w:eastAsia="黑体" w:cs="Times New Roman"/>
          <w:kern w:val="56"/>
          <w:sz w:val="32"/>
          <w:szCs w:val="32"/>
        </w:rPr>
      </w:pPr>
      <w:r>
        <w:rPr>
          <w:rFonts w:hint="eastAsia" w:ascii="Times New Roman" w:hAnsi="Times New Roman" w:eastAsia="黑体" w:cs="Times New Roman"/>
          <w:kern w:val="56"/>
          <w:sz w:val="32"/>
          <w:szCs w:val="32"/>
        </w:rPr>
        <w:t>附件1</w:t>
      </w:r>
    </w:p>
    <w:p>
      <w:pPr>
        <w:pStyle w:val="3"/>
        <w:keepNext w:val="0"/>
        <w:keepLines w:val="0"/>
        <w:pageBreakBefore w:val="0"/>
        <w:widowControl w:val="0"/>
        <w:kinsoku/>
        <w:wordWrap/>
        <w:overflowPunct/>
        <w:topLinePunct w:val="0"/>
        <w:autoSpaceDE/>
        <w:autoSpaceDN/>
        <w:bidi w:val="0"/>
        <w:adjustRightInd/>
        <w:snapToGrid/>
        <w:spacing w:beforeAutospacing="0" w:after="226" w:line="560" w:lineRule="exact"/>
        <w:jc w:val="center"/>
        <w:textAlignment w:val="auto"/>
        <w:rPr>
          <w:rFonts w:hint="eastAsia" w:ascii="方正小标宋简体" w:hAnsi="方正小标宋简体" w:eastAsia="方正小标宋简体" w:cs="方正小标宋简体"/>
          <w:kern w:val="56"/>
          <w:sz w:val="44"/>
          <w:szCs w:val="44"/>
        </w:rPr>
      </w:pPr>
      <w:r>
        <w:rPr>
          <w:rFonts w:hint="eastAsia" w:ascii="方正小标宋简体" w:hAnsi="方正小标宋简体" w:eastAsia="方正小标宋简体" w:cs="方正小标宋简体"/>
          <w:kern w:val="56"/>
          <w:sz w:val="44"/>
          <w:szCs w:val="44"/>
        </w:rPr>
        <w:t>采购需求</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黑体" w:hAnsi="黑体" w:eastAsia="黑体" w:cs="黑体"/>
          <w:kern w:val="56"/>
          <w:sz w:val="32"/>
          <w:szCs w:val="32"/>
        </w:rPr>
      </w:pPr>
      <w:r>
        <w:rPr>
          <w:rFonts w:hint="eastAsia" w:ascii="黑体" w:hAnsi="黑体" w:eastAsia="黑体" w:cs="黑体"/>
          <w:kern w:val="56"/>
          <w:sz w:val="32"/>
          <w:szCs w:val="32"/>
        </w:rPr>
        <w:t>一、服务项目概况</w:t>
      </w:r>
    </w:p>
    <w:p>
      <w:pPr>
        <w:keepNext w:val="0"/>
        <w:keepLines w:val="0"/>
        <w:pageBreakBefore w:val="0"/>
        <w:widowControl w:val="0"/>
        <w:kinsoku/>
        <w:wordWrap/>
        <w:overflowPunct/>
        <w:topLinePunct w:val="0"/>
        <w:autoSpaceDE/>
        <w:autoSpaceDN/>
        <w:bidi w:val="0"/>
        <w:adjustRightInd/>
        <w:snapToGrid/>
        <w:spacing w:beforeAutospacing="0" w:line="560" w:lineRule="exact"/>
        <w:ind w:left="2100" w:leftChars="238" w:hanging="1600" w:hangingChars="500"/>
        <w:jc w:val="left"/>
        <w:textAlignment w:val="auto"/>
        <w:rPr>
          <w:rFonts w:hint="eastAsia" w:ascii="仿宋_GB2312" w:hAnsi="仿宋" w:eastAsia="仿宋_GB2312"/>
          <w:bCs/>
          <w:kern w:val="56"/>
          <w:sz w:val="32"/>
          <w:szCs w:val="32"/>
        </w:rPr>
      </w:pPr>
      <w:r>
        <w:rPr>
          <w:rFonts w:hint="eastAsia" w:ascii="仿宋_GB2312" w:hAnsi="仿宋" w:eastAsia="仿宋_GB2312"/>
          <w:bCs/>
          <w:kern w:val="56"/>
          <w:sz w:val="32"/>
          <w:szCs w:val="32"/>
        </w:rPr>
        <w:t>项目名称：柳州市院前医疗急救信息管理系统升级改造建设项目安全等级保护测评服务</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仿宋" w:eastAsia="仿宋_GB2312"/>
          <w:bCs/>
          <w:kern w:val="56"/>
          <w:sz w:val="32"/>
          <w:szCs w:val="32"/>
        </w:rPr>
      </w:pPr>
      <w:r>
        <w:rPr>
          <w:rFonts w:hint="eastAsia" w:ascii="仿宋_GB2312" w:hAnsi="仿宋" w:eastAsia="仿宋_GB2312"/>
          <w:bCs/>
          <w:kern w:val="56"/>
          <w:sz w:val="32"/>
          <w:szCs w:val="32"/>
        </w:rPr>
        <w:t>服务期限：自合同签订之日起至项目通过验收合格之日止。</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仿宋" w:eastAsia="仿宋_GB2312"/>
          <w:b/>
          <w:kern w:val="56"/>
          <w:sz w:val="32"/>
          <w:szCs w:val="32"/>
        </w:rPr>
      </w:pPr>
      <w:r>
        <w:rPr>
          <w:rFonts w:hint="eastAsia" w:ascii="黑体" w:hAnsi="黑体" w:eastAsia="黑体" w:cs="黑体"/>
          <w:kern w:val="56"/>
          <w:sz w:val="32"/>
          <w:szCs w:val="32"/>
        </w:rPr>
        <w:t>二、等级保护测评服务要求</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（一）总体要求</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依据《网络安全等级保护基本要求》（GB/T 22239-2019）对：柳州市院前医疗急救信息管理系统升级改造建设项目开展第二级网络安全等级保护测评工作，并出具网络安全等级保护测评报告。</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（二）标准依据</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1.《计算机信息系统安全保护等级划分准则》（GB 17859-1999)</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2.《信息安全技术 网络安全等级保护基本要求》（GB/T 22239-2019）</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3.《信息安全技术 网络安全等级保护测评要求》（GB/T 28448-2019）</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4.《信息安全技术 网络安全等级保护测评过程指南》（GB/T 28449-2018)</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5.《信息安全技术 网络安全等级保护设计技术要求》（GB/T 25070-2019）</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6.《网络安全等级保护测试评估技术指南》（GB/T 36627-2018）</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（三）测评内容</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1.安全通用要求</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安全通用要求测评内容应包括安全技术和安全管理两大类，其中技术类应包括对安全物理环境、安全通信网络、安全区域边界、安全计算环境、安全管理中心五个方面的测评，安全管理类测评应包括对安全管理制度、安全管理机构、安全管理人员、安全建设管理、安全运维管理五个方面的测评。</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2.安全扩展要求</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根据现场情况，保护对象可能涉及的安全扩展要求包括：</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1）云计算</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云计算安全测评内容包括对安全物理环境、安全通信网络、安全区域边界、安全计算环境、安全管理中心、安全建设管理、安全运维管理等的测评。</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2）移动互联</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移动互联安全测评内容包括对安全物理环境、安全区域边界、安全计算环境、安全建设管理、安全运维管理等的测评。</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3）物联网</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物联网安全测评内容包括对安全物理环境、安全区域边界、安全计算环境、安全运维管理等的测评。</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4)大数据</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大数据安全测评包括对安全物理环境、安全通信网络、安全计算环境、安全运维管理等的测评。</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(四)测评方法</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在测评实施过程中，应采用访谈、检查、测试和渗透测试等测评方法进行，并与国家相关规范及标准的要求相符。</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访谈是指测评人员通过引导信息系统相关人员进行有目的的（有针对性的）交流以帮助测评人员理解、分析或取得证据的过程；</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检查是指测评人员通过对测评对象（如管理制度、操作记录、安全配置等）进行观察、查验、分析以帮助测评人员理解、分析或取得证据的过程；</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测试是指测评人员使用预定的方法/工具使测评对象产生特定的行为，通过查看和分析结果以帮助测评人员获取证据的过程；</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b/>
          <w:bCs/>
          <w:kern w:val="56"/>
          <w:sz w:val="32"/>
          <w:szCs w:val="32"/>
        </w:rPr>
      </w:pPr>
      <w:r>
        <w:rPr>
          <w:rFonts w:hint="eastAsia" w:ascii="仿宋_GB2312" w:hAnsi="宋体" w:eastAsia="仿宋_GB2312" w:cs="宋体"/>
          <w:kern w:val="56"/>
          <w:sz w:val="32"/>
          <w:szCs w:val="32"/>
        </w:rPr>
        <w:t>渗透测试是指模拟黑客的攻击方法，对受保护对象的应用系统、主机、网络进行攻击，从而验证测评对象的弱点、技术缺陷或漏洞的一种评估方法。</w:t>
      </w:r>
      <w:r>
        <w:rPr>
          <w:rFonts w:hint="eastAsia" w:ascii="仿宋_GB2312" w:hAnsi="宋体" w:eastAsia="仿宋_GB2312" w:cs="宋体"/>
          <w:kern w:val="56"/>
          <w:sz w:val="32"/>
          <w:szCs w:val="32"/>
        </w:rPr>
        <w:br w:type="textWrapping"/>
      </w:r>
      <w:r>
        <w:rPr>
          <w:rFonts w:hint="eastAsia" w:ascii="仿宋_GB2312" w:hAnsi="宋体" w:eastAsia="仿宋_GB2312" w:cs="宋体"/>
          <w:b/>
          <w:bCs/>
          <w:kern w:val="56"/>
          <w:sz w:val="32"/>
          <w:szCs w:val="32"/>
        </w:rPr>
        <w:t xml:space="preserve">    </w:t>
      </w:r>
      <w:r>
        <w:rPr>
          <w:rFonts w:hint="eastAsia" w:ascii="黑体" w:hAnsi="黑体" w:eastAsia="黑体" w:cs="黑体"/>
          <w:kern w:val="56"/>
          <w:sz w:val="32"/>
          <w:szCs w:val="32"/>
        </w:rPr>
        <w:t>三、成果交付时间</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自合同签订之日起至项目通过验收合格之日止。</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黑体" w:hAnsi="黑体" w:eastAsia="黑体" w:cs="黑体"/>
          <w:kern w:val="56"/>
          <w:sz w:val="32"/>
          <w:szCs w:val="32"/>
        </w:rPr>
      </w:pPr>
      <w:r>
        <w:rPr>
          <w:rFonts w:hint="eastAsia" w:ascii="黑体" w:hAnsi="黑体" w:eastAsia="黑体" w:cs="黑体"/>
          <w:kern w:val="56"/>
          <w:sz w:val="32"/>
          <w:szCs w:val="32"/>
        </w:rPr>
        <w:t>四、成果交付要求</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黑体" w:hAnsi="黑体" w:eastAsia="黑体" w:cs="黑体"/>
          <w:kern w:val="56"/>
          <w:sz w:val="32"/>
          <w:szCs w:val="32"/>
        </w:rPr>
      </w:pPr>
      <w:r>
        <w:rPr>
          <w:rFonts w:hint="eastAsia" w:ascii="仿宋_GB2312" w:hAnsi="宋体" w:eastAsia="仿宋_GB2312" w:cs="宋体"/>
          <w:kern w:val="56"/>
          <w:sz w:val="32"/>
          <w:szCs w:val="32"/>
        </w:rPr>
        <w:t>测评完成后，出具符合《信息安全技术-网络安全等级保护基本要求》（GB/T 22239-2019）相关技术标准要求、国家网络安全等级保护管理部门规范要求且公安机关认可的网络安全等级保护测评报告。</w:t>
      </w:r>
      <w:r>
        <w:rPr>
          <w:rFonts w:hint="eastAsia" w:ascii="仿宋_GB2312" w:hAnsi="宋体" w:eastAsia="仿宋_GB2312" w:cs="宋体"/>
          <w:kern w:val="56"/>
          <w:sz w:val="32"/>
          <w:szCs w:val="32"/>
        </w:rPr>
        <w:br w:type="textWrapping"/>
      </w:r>
      <w:r>
        <w:rPr>
          <w:rFonts w:hint="eastAsia" w:ascii="仿宋_GB2312" w:hAnsi="宋体" w:eastAsia="仿宋_GB2312" w:cs="宋体"/>
          <w:b/>
          <w:bCs/>
          <w:kern w:val="56"/>
          <w:sz w:val="32"/>
          <w:szCs w:val="32"/>
        </w:rPr>
        <w:t xml:space="preserve">   </w:t>
      </w:r>
      <w:r>
        <w:rPr>
          <w:rFonts w:hint="eastAsia" w:ascii="黑体" w:hAnsi="黑体" w:eastAsia="黑体" w:cs="黑体"/>
          <w:kern w:val="56"/>
          <w:sz w:val="32"/>
          <w:szCs w:val="32"/>
        </w:rPr>
        <w:t xml:space="preserve"> 五、成果交付地点</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采购人指定地点。</w:t>
      </w:r>
      <w:r>
        <w:rPr>
          <w:rFonts w:hint="eastAsia" w:ascii="仿宋_GB2312" w:hAnsi="宋体" w:eastAsia="仿宋_GB2312" w:cs="宋体"/>
          <w:kern w:val="56"/>
          <w:sz w:val="32"/>
          <w:szCs w:val="32"/>
        </w:rPr>
        <w:br w:type="page"/>
      </w:r>
    </w:p>
    <w:p>
      <w:pPr>
        <w:spacing w:line="600" w:lineRule="exact"/>
        <w:ind w:firstLine="328"/>
        <w:jc w:val="left"/>
        <w:rPr>
          <w:rFonts w:ascii="Times New Roman" w:hAnsi="Times New Roman" w:eastAsia="黑体" w:cs="Times New Roman"/>
          <w:sz w:val="32"/>
          <w:szCs w:val="32"/>
        </w:rPr>
      </w:pPr>
      <w:r>
        <w:rPr>
          <w:rFonts w:ascii="Times New Roman" w:hAnsi="Times New Roman" w:eastAsia="黑体" w:cs="Times New Roman"/>
          <w:sz w:val="32"/>
          <w:szCs w:val="32"/>
        </w:rPr>
        <w:t>附件2</w:t>
      </w:r>
    </w:p>
    <w:p>
      <w:pPr>
        <w:spacing w:line="600" w:lineRule="exact"/>
        <w:ind w:firstLine="328"/>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报价单</w:t>
      </w:r>
    </w:p>
    <w:p>
      <w:pPr>
        <w:spacing w:line="600" w:lineRule="exact"/>
      </w:pPr>
    </w:p>
    <w:p>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填报时间：     年   月   日</w:t>
      </w:r>
    </w:p>
    <w:tbl>
      <w:tblPr>
        <w:tblStyle w:val="4"/>
        <w:tblW w:w="5000" w:type="pct"/>
        <w:tblInd w:w="0" w:type="dxa"/>
        <w:tblLayout w:type="autofit"/>
        <w:tblCellMar>
          <w:top w:w="0" w:type="dxa"/>
          <w:left w:w="0" w:type="dxa"/>
          <w:bottom w:w="0" w:type="dxa"/>
          <w:right w:w="0" w:type="dxa"/>
        </w:tblCellMar>
      </w:tblPr>
      <w:tblGrid>
        <w:gridCol w:w="4550"/>
        <w:gridCol w:w="4551"/>
      </w:tblGrid>
      <w:tr>
        <w:tblPrEx>
          <w:tblCellMar>
            <w:top w:w="0" w:type="dxa"/>
            <w:left w:w="0" w:type="dxa"/>
            <w:bottom w:w="0" w:type="dxa"/>
            <w:right w:w="0" w:type="dxa"/>
          </w:tblCellMar>
        </w:tblPrEx>
        <w:trPr>
          <w:trHeight w:val="700" w:hRule="atLeast"/>
        </w:trPr>
        <w:tc>
          <w:tcPr>
            <w:tcW w:w="250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600" w:lineRule="exact"/>
              <w:jc w:val="center"/>
              <w:textAlignment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lang w:bidi="ar"/>
              </w:rPr>
              <w:t>单位名称</w:t>
            </w:r>
          </w:p>
        </w:tc>
        <w:tc>
          <w:tcPr>
            <w:tcW w:w="250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600" w:lineRule="exact"/>
              <w:jc w:val="center"/>
              <w:textAlignment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lang w:bidi="ar"/>
              </w:rPr>
              <w:t>报价（元）</w:t>
            </w:r>
          </w:p>
        </w:tc>
      </w:tr>
      <w:tr>
        <w:tblPrEx>
          <w:tblCellMar>
            <w:top w:w="0" w:type="dxa"/>
            <w:left w:w="0" w:type="dxa"/>
            <w:bottom w:w="0" w:type="dxa"/>
            <w:right w:w="0" w:type="dxa"/>
          </w:tblCellMar>
        </w:tblPrEx>
        <w:trPr>
          <w:trHeight w:val="760" w:hRule="atLeast"/>
        </w:trPr>
        <w:tc>
          <w:tcPr>
            <w:tcW w:w="250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600" w:lineRule="exact"/>
              <w:rPr>
                <w:rFonts w:hint="eastAsia" w:ascii="仿宋_GB2312" w:hAnsi="宋体" w:eastAsia="仿宋_GB2312" w:cs="仿宋_GB2312"/>
                <w:sz w:val="28"/>
                <w:szCs w:val="28"/>
              </w:rPr>
            </w:pPr>
          </w:p>
        </w:tc>
        <w:tc>
          <w:tcPr>
            <w:tcW w:w="250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600" w:lineRule="exact"/>
              <w:rPr>
                <w:rFonts w:hint="eastAsia" w:ascii="仿宋_GB2312" w:hAnsi="宋体" w:eastAsia="仿宋_GB2312" w:cs="仿宋_GB2312"/>
                <w:sz w:val="28"/>
                <w:szCs w:val="28"/>
              </w:rPr>
            </w:pPr>
          </w:p>
        </w:tc>
      </w:tr>
    </w:tbl>
    <w:p>
      <w:pPr>
        <w:spacing w:line="600" w:lineRule="exact"/>
      </w:pPr>
    </w:p>
    <w:p>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                  联系电话：</w:t>
      </w:r>
    </w:p>
    <w:p>
      <w:pPr>
        <w:spacing w:line="600" w:lineRule="exact"/>
        <w:ind w:firstLine="328"/>
        <w:jc w:val="center"/>
        <w:rPr>
          <w:rFonts w:hint="eastAsia" w:ascii="方正小标宋简体" w:hAnsi="方正小标宋简体" w:eastAsia="方正小标宋简体" w:cs="方正小标宋简体"/>
          <w:sz w:val="44"/>
          <w:szCs w:val="44"/>
        </w:rPr>
      </w:pPr>
    </w:p>
    <w:p>
      <w:pPr>
        <w:spacing w:line="360" w:lineRule="auto"/>
        <w:ind w:firstLine="328"/>
        <w:jc w:val="left"/>
        <w:rPr>
          <w:rFonts w:ascii="仿宋_GB2312" w:hAnsi="Helvetica" w:eastAsia="仿宋_GB2312" w:cs="仿宋_GB2312"/>
          <w:sz w:val="28"/>
          <w:szCs w:val="28"/>
          <w:shd w:val="clear" w:color="auto" w:fill="FFFFFF"/>
        </w:rPr>
      </w:pPr>
    </w:p>
    <w:p>
      <w:bookmarkStart w:id="0" w:name="_GoBack"/>
      <w:bookmarkEnd w:id="0"/>
    </w:p>
    <w:sectPr>
      <w:pgSz w:w="11906" w:h="16838"/>
      <w:pgMar w:top="1304" w:right="1304" w:bottom="130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PMingLiU">
    <w:panose1 w:val="02020500000000000000"/>
    <w:charset w:val="88"/>
    <w:family w:val="auto"/>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CCB2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2026-07-16T09:31:46Z</dcterms:created>
  <dc:creator>Administrator</dc:creator>
  <cp:lastModifiedBy>Administrator</cp:lastModifiedBy>
  <dcterms:modified xsi:type="dcterms:W3CDTF">2026-07-16T09:31:54Z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