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CC81A">
      <w:pPr>
        <w:spacing w:line="600" w:lineRule="exact"/>
        <w:jc w:val="left"/>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附件1</w:t>
      </w:r>
    </w:p>
    <w:p w14:paraId="5CF566E4">
      <w:pPr>
        <w:spacing w:line="60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采购需求</w:t>
      </w:r>
    </w:p>
    <w:p w14:paraId="33CE34D9">
      <w:pPr>
        <w:spacing w:line="60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p>
    <w:p w14:paraId="4B23479D">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一、服务项目概况</w:t>
      </w:r>
    </w:p>
    <w:p w14:paraId="76E97374">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项目名称：柳州市院前医疗急救信息管理系统升级改造建设项目安全等级保护测评服务</w:t>
      </w:r>
    </w:p>
    <w:p w14:paraId="55A314A9">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采购预算：人民币</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伍</w:t>
      </w:r>
      <w:r>
        <w:rPr>
          <w:rFonts w:hint="eastAsia" w:ascii="仿宋_GB2312" w:hAnsi="仿宋_GB2312" w:eastAsia="仿宋_GB2312" w:cs="仿宋_GB2312"/>
          <w:bCs/>
          <w:color w:val="000000" w:themeColor="text1"/>
          <w:sz w:val="32"/>
          <w:szCs w:val="32"/>
          <w14:textFill>
            <w14:solidFill>
              <w14:schemeClr w14:val="tx1"/>
            </w14:solidFill>
          </w14:textFill>
        </w:rPr>
        <w:t>万元整（￥</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Cs/>
          <w:color w:val="000000" w:themeColor="text1"/>
          <w:sz w:val="32"/>
          <w:szCs w:val="32"/>
          <w14:textFill>
            <w14:solidFill>
              <w14:schemeClr w14:val="tx1"/>
            </w14:solidFill>
          </w14:textFill>
        </w:rPr>
        <w:t>0000.00元）。</w:t>
      </w:r>
    </w:p>
    <w:p w14:paraId="33D44827">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采购需求：柳州市院前医疗急救信息管理系统升级改造建设项目安全等级保护测评服务，网络安全保护等级为第二级。</w:t>
      </w:r>
    </w:p>
    <w:p w14:paraId="67C988C1">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服务期限：自合同签订之日起至项目通过验收合格之日止。</w:t>
      </w:r>
    </w:p>
    <w:p w14:paraId="03A8AA49">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二、测评服务要求</w:t>
      </w:r>
    </w:p>
    <w:p w14:paraId="45259976">
      <w:pPr>
        <w:spacing w:line="560" w:lineRule="exact"/>
        <w:ind w:firstLine="643" w:firstLineChars="200"/>
        <w:jc w:val="left"/>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（一）供应商基本要求：</w:t>
      </w:r>
    </w:p>
    <w:p w14:paraId="517AB323">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 xml:space="preserve">1.供应商应为中华人民共和国国内注册（指按国家有关规定要求注册的），具有独立承担民事责任能力的法人或者其他组织； </w:t>
      </w:r>
    </w:p>
    <w:p w14:paraId="1AEB5B14">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 xml:space="preserve">2.供应商须具有公安部第三研究所颁发的《网络安全服务认证证书-等级保护测评服务认证》。提供证书或证明复印件并加盖公章； </w:t>
      </w:r>
    </w:p>
    <w:p w14:paraId="2CE43077">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 xml:space="preserve"> 3. 被列入“信用中国”网站（www.creditchina.gov.cn）或“中国政府采购网”网站 （www.ccgp.gov.cn）安全生产严重失信主体（法人、自然人）、严重失信主体、失信被执行人、重大税收违法失信主体或政府采购严重违法失信行为记录名单的，不具备参与资格； </w:t>
      </w:r>
    </w:p>
    <w:p w14:paraId="48C5DD36">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 xml:space="preserve">4.参与投标活动前三年内，在“国家企业信用信息公示系统”（www.gsxt.gov.cn）存在因违法经营受到刑事处罚或者责令停产停业、吊销许可证或者执照、200万以上（含）金额罚款等行政处罚记录的，不具备参与资格； </w:t>
      </w:r>
    </w:p>
    <w:p w14:paraId="754A1097">
      <w:pPr>
        <w:spacing w:line="560" w:lineRule="exact"/>
        <w:ind w:firstLine="643" w:firstLineChars="200"/>
        <w:jc w:val="left"/>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（二）等级保护测评服务要求：</w:t>
      </w:r>
    </w:p>
    <w:p w14:paraId="67A9FC7D">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1.总体要求</w:t>
      </w:r>
    </w:p>
    <w:p w14:paraId="54D56590">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依据《网络安全等级保护基本要求》（GB/T 22239-2019）对：柳州市院前医疗急救信息管理系统升级改造建设项目开展第二级网络安全等级保护测评工作，并出具网络安全等级保护测评报告。</w:t>
      </w:r>
    </w:p>
    <w:p w14:paraId="54FB2625">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2.标准依据</w:t>
      </w:r>
    </w:p>
    <w:p w14:paraId="07CAC99E">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2.1.《计算机信息系统安全保护等级划分准则》（GB 17859-1999)</w:t>
      </w:r>
    </w:p>
    <w:p w14:paraId="71084BBA">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2.2.《信息安全技术 网络安全等级保护基本要求》（GB/T 22239-2019）</w:t>
      </w:r>
    </w:p>
    <w:p w14:paraId="447E9EF0">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2.3.《信息安全技术 网络安全等级保护测评要求》（GB/T 28448-2019）</w:t>
      </w:r>
    </w:p>
    <w:p w14:paraId="50452C7F">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2.4.《信息安全技术 网络安全等级保护测评过程指南》（GB/T 28449-2018)</w:t>
      </w:r>
    </w:p>
    <w:p w14:paraId="3AAEA6C5">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2.5.《信息安全技术 网络安全等级保护设计技术要求》（GB/T 25070-2019）</w:t>
      </w:r>
    </w:p>
    <w:p w14:paraId="70FE20BE">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2.6.《网络安全等级保护测试评估技术指南》（GB/T 36627-2018）</w:t>
      </w:r>
    </w:p>
    <w:p w14:paraId="776AD501">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3.测评内容</w:t>
      </w:r>
    </w:p>
    <w:p w14:paraId="73FA0D3D">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3.1.安全通用要求</w:t>
      </w:r>
    </w:p>
    <w:p w14:paraId="4F58137D">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安全通用要求测评内容应包括安全技术和安全管理两大类，其中技术类应包括对安全物理环境、安全通信网络、安全区域边界、安全计算环境、安全管理中心五个方面的测评，安全管理类测评应包括对安全管理制度、安全管理机构、安全管理人员、安全建设管理、安全运维管理五个方面的测评。</w:t>
      </w:r>
    </w:p>
    <w:p w14:paraId="70AC5EB7">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3.2.安全扩展要求</w:t>
      </w:r>
    </w:p>
    <w:p w14:paraId="5B7CC8FC">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根据现场情况，保护对象可能涉及的安全扩展要求包括：</w:t>
      </w:r>
    </w:p>
    <w:p w14:paraId="42FAD2AE">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1）云计算</w:t>
      </w:r>
    </w:p>
    <w:p w14:paraId="41B3FAA3">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云计算安全测评内容包括对安全物理环境、安全通信网络、安全区域边界、安全计算环境、安全管理中心、安全建设管理、安全运维管理等的测评。</w:t>
      </w:r>
    </w:p>
    <w:p w14:paraId="5CAB78A3">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2）移动互联</w:t>
      </w:r>
    </w:p>
    <w:p w14:paraId="4EB653DB">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移动互联安全测评内容包括对安全物理环境、安全区域边界、安全计算环境、安全建设管理、安全运维管理等的测评。</w:t>
      </w:r>
    </w:p>
    <w:p w14:paraId="0FC088A6">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3）物联网</w:t>
      </w:r>
    </w:p>
    <w:p w14:paraId="2F1701BE">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物联网安全测评内容包括对安全物理环境、安全区域边界、安全计算环境、安全运维管理等的测评。</w:t>
      </w:r>
    </w:p>
    <w:p w14:paraId="4B77A29B">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4)大数据</w:t>
      </w:r>
    </w:p>
    <w:p w14:paraId="56031FFF">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大数据安全测评包括对安全物理环境、安全通信网络、安全计算环境、安全运维管理等的测评。</w:t>
      </w:r>
    </w:p>
    <w:p w14:paraId="43BD9F5F">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4.测评方法</w:t>
      </w:r>
    </w:p>
    <w:p w14:paraId="27CD5868">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在测评实施过程中，应采用访谈、检查、测试和渗透测试等测评方法进行，并与国家相关规范及标准的要求相符。</w:t>
      </w:r>
    </w:p>
    <w:p w14:paraId="1983CFA5">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访谈是指测评人员通过引导信息系统相关人员进行有目的的（有针对性的）交流以帮助测评人员理解、分析或取得证据的过程；</w:t>
      </w:r>
    </w:p>
    <w:p w14:paraId="56884EC2">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检查是指测评人员通过对测评对象（如管理制度、操作记录、安全配置等）进行观察、查验、分析以帮助测评人员理解、分析或取得证据的过程；</w:t>
      </w:r>
    </w:p>
    <w:p w14:paraId="39C3A887">
      <w:pPr>
        <w:spacing w:line="560" w:lineRule="exact"/>
        <w:ind w:firstLine="640" w:firstLineChars="200"/>
        <w:jc w:val="left"/>
        <w:rPr>
          <w:rFonts w:hint="eastAsia" w:ascii="仿宋_GB2312" w:hAnsi="宋体" w:eastAsia="仿宋_GB2312" w:cs="宋体"/>
          <w:color w:val="000000" w:themeColor="text1"/>
          <w:kern w:val="56"/>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测试是指测评人员使用预定的方法/工具使测评对象产生特定的行为，通过查看和分析结果以帮助测评人员获取证据的过程；</w:t>
      </w:r>
    </w:p>
    <w:p w14:paraId="4E7D7B11">
      <w:pPr>
        <w:ind w:firstLine="640" w:firstLineChars="200"/>
        <w:rPr>
          <w:rFonts w:hint="eastAsia" w:ascii="黑体" w:hAnsi="黑体" w:eastAsia="黑体" w:cs="黑体"/>
          <w:bCs/>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56"/>
          <w:sz w:val="32"/>
          <w:szCs w:val="32"/>
          <w14:textFill>
            <w14:solidFill>
              <w14:schemeClr w14:val="tx1"/>
            </w14:solidFill>
          </w14:textFill>
        </w:rPr>
        <w:t>渗透测试是指模拟黑客的攻击方法，对受保护对象的应用系统、主机、网络进行攻击，从而验证测评对象的弱点、技术缺陷或漏洞的一种评估方法。</w:t>
      </w:r>
      <w:r>
        <w:rPr>
          <w:rFonts w:hint="eastAsia" w:ascii="仿宋_GB2312" w:hAnsi="宋体" w:eastAsia="仿宋_GB2312" w:cs="宋体"/>
          <w:color w:val="000000" w:themeColor="text1"/>
          <w:kern w:val="56"/>
          <w:sz w:val="32"/>
          <w:szCs w:val="32"/>
          <w14:textFill>
            <w14:solidFill>
              <w14:schemeClr w14:val="tx1"/>
            </w14:solidFill>
          </w14:textFill>
        </w:rPr>
        <w:br w:type="textWrapping"/>
      </w:r>
      <w:r>
        <w:rPr>
          <w:rFonts w:hint="eastAsia" w:ascii="仿宋_GB2312" w:hAnsi="宋体" w:eastAsia="仿宋_GB2312" w:cs="宋体"/>
          <w:color w:val="000000" w:themeColor="text1"/>
          <w:kern w:val="56"/>
          <w:sz w:val="32"/>
          <w:szCs w:val="32"/>
          <w14:textFill>
            <w14:solidFill>
              <w14:schemeClr w14:val="tx1"/>
            </w14:solidFill>
          </w14:textFill>
        </w:rPr>
        <w:t xml:space="preserve">    </w:t>
      </w:r>
      <w:r>
        <w:rPr>
          <w:rFonts w:hint="eastAsia" w:ascii="黑体" w:hAnsi="黑体" w:eastAsia="黑体" w:cs="黑体"/>
          <w:bCs/>
          <w:color w:val="000000" w:themeColor="text1"/>
          <w:sz w:val="32"/>
          <w:szCs w:val="32"/>
          <w14:textFill>
            <w14:solidFill>
              <w14:schemeClr w14:val="tx1"/>
            </w14:solidFill>
          </w14:textFill>
        </w:rPr>
        <w:t>三、成果交付时间：</w:t>
      </w:r>
    </w:p>
    <w:p w14:paraId="571E955D">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自合同签订之日起至项目通过验收合格之日止。</w:t>
      </w:r>
    </w:p>
    <w:p w14:paraId="6A95168A">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四、成果交付要求：</w:t>
      </w:r>
    </w:p>
    <w:p w14:paraId="459E31A5">
      <w:pPr>
        <w:spacing w:line="560" w:lineRule="exact"/>
        <w:ind w:firstLine="640" w:firstLineChars="200"/>
        <w:jc w:val="left"/>
        <w:rPr>
          <w:rFonts w:hint="eastAsia" w:ascii="仿宋_GB2312" w:hAnsi="仿宋_GB2312" w:eastAsia="仿宋_GB2312" w:cs="仿宋_GB2312"/>
          <w:bCs/>
          <w:color w:val="auto"/>
          <w:sz w:val="32"/>
          <w:szCs w:val="32"/>
          <w:lang w:eastAsia="zh-CN"/>
        </w:rPr>
      </w:pPr>
      <w:r>
        <w:rPr>
          <w:rFonts w:hint="eastAsia" w:ascii="仿宋_GB2312" w:hAnsi="仿宋_GB2312" w:eastAsia="仿宋_GB2312" w:cs="仿宋_GB2312"/>
          <w:bCs/>
          <w:color w:val="000000" w:themeColor="text1"/>
          <w:sz w:val="32"/>
          <w:szCs w:val="32"/>
          <w14:textFill>
            <w14:solidFill>
              <w14:schemeClr w14:val="tx1"/>
            </w14:solidFill>
          </w14:textFill>
        </w:rPr>
        <w:t>测评完成后，出具符合《信息安全技术-网络安全等级保护基本要求》（GB/T 22239-2019）相关技术标准要求、国家网络安全等级保护管理部门规范要求且公安机关认可的网络安全等级保护测评报告</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Cs/>
          <w:color w:val="auto"/>
          <w:sz w:val="32"/>
          <w:szCs w:val="32"/>
        </w:rPr>
        <w:t>并完成向网安主管部门的报备（提供广西壮族自治区等保协同管理平台中项目完结的截图）</w:t>
      </w:r>
      <w:r>
        <w:rPr>
          <w:rFonts w:hint="eastAsia" w:ascii="仿宋_GB2312" w:hAnsi="仿宋_GB2312" w:eastAsia="仿宋_GB2312" w:cs="仿宋_GB2312"/>
          <w:bCs/>
          <w:color w:val="auto"/>
          <w:sz w:val="32"/>
          <w:szCs w:val="32"/>
          <w:lang w:eastAsia="zh-CN"/>
        </w:rPr>
        <w:t>。</w:t>
      </w:r>
    </w:p>
    <w:p w14:paraId="1C17A097">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五、成果交付地点：</w:t>
      </w:r>
    </w:p>
    <w:p w14:paraId="7B59109B">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采购人指定地点</w:t>
      </w:r>
    </w:p>
    <w:p w14:paraId="21120D82">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六、付款方式：</w:t>
      </w:r>
    </w:p>
    <w:p w14:paraId="3E77CFD0">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auto"/>
          <w:sz w:val="32"/>
          <w:szCs w:val="32"/>
        </w:rPr>
        <w:t>合同签订后，自成交供应商提交工作计划和方案后，采购人</w:t>
      </w:r>
      <w:r>
        <w:rPr>
          <w:rFonts w:hint="eastAsia" w:ascii="仿宋_GB2312" w:hAnsi="仿宋_GB2312" w:eastAsia="仿宋_GB2312" w:cs="仿宋_GB2312"/>
          <w:bCs/>
          <w:color w:val="auto"/>
          <w:sz w:val="32"/>
          <w:szCs w:val="32"/>
          <w:lang w:val="en-US" w:eastAsia="zh-CN"/>
        </w:rPr>
        <w:t>在10个工作日内</w:t>
      </w:r>
      <w:r>
        <w:rPr>
          <w:rFonts w:hint="eastAsia" w:ascii="仿宋_GB2312" w:hAnsi="仿宋_GB2312" w:eastAsia="仿宋_GB2312" w:cs="仿宋_GB2312"/>
          <w:bCs/>
          <w:color w:val="auto"/>
          <w:sz w:val="32"/>
          <w:szCs w:val="32"/>
        </w:rPr>
        <w:t>完成合同总价款50%的支付流程</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供应商收到款项后向采购人开具等额正规发票；项目完成测评，供应商提交正式《网络安全等级测评报告》（含纸质版和电子版）</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取得工作成果移交签收</w:t>
      </w:r>
      <w:r>
        <w:rPr>
          <w:rFonts w:hint="eastAsia" w:ascii="仿宋_GB2312" w:hAnsi="仿宋_GB2312" w:eastAsia="仿宋_GB2312" w:cs="仿宋_GB2312"/>
          <w:bCs/>
          <w:color w:val="auto"/>
          <w:sz w:val="32"/>
          <w:szCs w:val="32"/>
        </w:rPr>
        <w:t>单后，采购人在</w:t>
      </w:r>
      <w:r>
        <w:rPr>
          <w:rFonts w:hint="eastAsia" w:ascii="仿宋_GB2312" w:hAnsi="仿宋_GB2312" w:eastAsia="仿宋_GB2312" w:cs="仿宋_GB2312"/>
          <w:bCs/>
          <w:color w:val="auto"/>
          <w:sz w:val="32"/>
          <w:szCs w:val="32"/>
          <w:lang w:val="en-US" w:eastAsia="zh-CN"/>
        </w:rPr>
        <w:t>10个工作日</w:t>
      </w:r>
      <w:r>
        <w:rPr>
          <w:rFonts w:hint="eastAsia" w:ascii="仿宋_GB2312" w:hAnsi="仿宋_GB2312" w:eastAsia="仿宋_GB2312" w:cs="仿宋_GB2312"/>
          <w:bCs/>
          <w:color w:val="auto"/>
          <w:sz w:val="32"/>
          <w:szCs w:val="32"/>
        </w:rPr>
        <w:t>内完成合同总价款50%</w:t>
      </w:r>
      <w:r>
        <w:rPr>
          <w:rFonts w:hint="eastAsia" w:ascii="仿宋_GB2312" w:hAnsi="仿宋_GB2312" w:eastAsia="仿宋_GB2312" w:cs="仿宋_GB2312"/>
          <w:bCs/>
          <w:color w:val="auto"/>
          <w:sz w:val="32"/>
          <w:szCs w:val="32"/>
          <w:lang w:val="en-US" w:eastAsia="zh-CN"/>
        </w:rPr>
        <w:t>的</w:t>
      </w:r>
      <w:r>
        <w:rPr>
          <w:rFonts w:hint="eastAsia" w:ascii="仿宋_GB2312" w:hAnsi="仿宋_GB2312" w:eastAsia="仿宋_GB2312" w:cs="仿宋_GB2312"/>
          <w:bCs/>
          <w:color w:val="auto"/>
          <w:sz w:val="32"/>
          <w:szCs w:val="32"/>
        </w:rPr>
        <w:t>支付流程，供应商收到款项后向采购人开具等额正规发票。</w:t>
      </w:r>
    </w:p>
    <w:p w14:paraId="7531464D">
      <w:pPr>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七、售后服务要求：</w:t>
      </w:r>
    </w:p>
    <w:p w14:paraId="5E7EE992">
      <w:pPr>
        <w:spacing w:line="56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（一）服务责任期：自提交服务成果并验收合格之日起1 年。</w:t>
      </w:r>
    </w:p>
    <w:p w14:paraId="3B199FE4">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仿宋_GB2312" w:hAnsi="仿宋_GB2312" w:eastAsia="仿宋_GB2312" w:cs="仿宋_GB2312"/>
          <w:bCs/>
          <w:sz w:val="32"/>
          <w:szCs w:val="32"/>
        </w:rPr>
        <w:t>（二）处理问题响应时间：接到采购人处理问题通知后1 小时内到达采购人指定现场，并及时处理相关问题。</w:t>
      </w:r>
    </w:p>
    <w:p w14:paraId="04061D99">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lang w:val="en-US" w:eastAsia="zh-CN"/>
          <w14:textFill>
            <w14:solidFill>
              <w14:schemeClr w14:val="tx1"/>
            </w14:solidFill>
          </w14:textFill>
        </w:rPr>
        <w:t>八</w:t>
      </w:r>
      <w:r>
        <w:rPr>
          <w:rFonts w:hint="eastAsia" w:ascii="黑体" w:hAnsi="黑体" w:eastAsia="黑体" w:cs="黑体"/>
          <w:bCs/>
          <w:color w:val="000000" w:themeColor="text1"/>
          <w:sz w:val="32"/>
          <w:szCs w:val="32"/>
          <w14:textFill>
            <w14:solidFill>
              <w14:schemeClr w14:val="tx1"/>
            </w14:solidFill>
          </w14:textFill>
        </w:rPr>
        <w:t>、报价要求</w:t>
      </w:r>
    </w:p>
    <w:p w14:paraId="5F110ACC">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报价必须含以下部分：</w:t>
      </w:r>
    </w:p>
    <w:p w14:paraId="2EC98817">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（1）服务的价格：本项目一次性报出本项目服务所需的所有费用，含技术服务、派出工作人员的交通费、住宿费、伙食补助费及其他与测评有关的费用等。本项目至验收合格，采购人不另支付任何费用。</w:t>
      </w:r>
    </w:p>
    <w:p w14:paraId="2C2034E8">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（2）必要的保险费用和各项税金等。</w:t>
      </w:r>
    </w:p>
    <w:p w14:paraId="38C3E0D1">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08642C6B">
      <w:pPr>
        <w:rPr>
          <w:color w:val="000000" w:themeColor="text1"/>
          <w14:textFill>
            <w14:solidFill>
              <w14:schemeClr w14:val="tx1"/>
            </w14:solidFill>
          </w14:textFill>
        </w:rPr>
      </w:pPr>
    </w:p>
    <w:p w14:paraId="1D764096">
      <w:pPr>
        <w:spacing w:line="560" w:lineRule="exact"/>
        <w:rPr>
          <w:rFonts w:hint="eastAsia" w:ascii="仿宋_GB2312" w:hAnsi="仿宋_GB2312" w:eastAsia="仿宋_GB2312" w:cs="仿宋_GB2312"/>
          <w:color w:val="000000" w:themeColor="text1"/>
          <w:sz w:val="32"/>
          <w:szCs w:val="32"/>
          <w14:textFill>
            <w14:solidFill>
              <w14:schemeClr w14:val="tx1"/>
            </w14:solidFill>
          </w14:textFill>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EFA99AD7-B1FD-4ED0-AEB6-AE6BEDE8649B}"/>
  </w:font>
  <w:font w:name="宋体">
    <w:panose1 w:val="02010600030101010101"/>
    <w:charset w:val="86"/>
    <w:family w:val="auto"/>
    <w:pitch w:val="default"/>
    <w:sig w:usb0="00000203" w:usb1="288F0000" w:usb2="00000006" w:usb3="00000000" w:csb0="00040001" w:csb1="00000000"/>
    <w:embedRegular r:id="rId2" w:fontKey="{79A44B17-1873-4BFD-84F4-841AF68FA592}"/>
  </w:font>
  <w:font w:name="Wingdings">
    <w:panose1 w:val="05000000000000000000"/>
    <w:charset w:val="02"/>
    <w:family w:val="auto"/>
    <w:pitch w:val="default"/>
    <w:sig w:usb0="00000000" w:usb1="00000000" w:usb2="00000000" w:usb3="00000000" w:csb0="80000000" w:csb1="00000000"/>
    <w:embedRegular r:id="rId3" w:fontKey="{C771883B-6940-4486-BD91-AA4A097DF07F}"/>
  </w:font>
  <w:font w:name="Arial">
    <w:panose1 w:val="020B0604020202020204"/>
    <w:charset w:val="01"/>
    <w:family w:val="swiss"/>
    <w:pitch w:val="default"/>
    <w:sig w:usb0="E0002EFF" w:usb1="C000785B" w:usb2="00000009" w:usb3="00000000" w:csb0="400001FF" w:csb1="FFFF0000"/>
    <w:embedRegular r:id="rId4" w:fontKey="{1A7A7F6A-2D84-49F2-A3FE-001B1232B606}"/>
  </w:font>
  <w:font w:name="黑体">
    <w:panose1 w:val="02010609060101010101"/>
    <w:charset w:val="86"/>
    <w:family w:val="auto"/>
    <w:pitch w:val="default"/>
    <w:sig w:usb0="800002BF" w:usb1="38CF7CFA" w:usb2="00000016" w:usb3="00000000" w:csb0="00040001" w:csb1="00000000"/>
    <w:embedRegular r:id="rId5" w:fontKey="{E79F909D-3F4F-4E30-B744-958BAB98388D}"/>
  </w:font>
  <w:font w:name="Courier New">
    <w:panose1 w:val="02070309020205020404"/>
    <w:charset w:val="01"/>
    <w:family w:val="modern"/>
    <w:pitch w:val="default"/>
    <w:sig w:usb0="E0002EFF" w:usb1="C0007843" w:usb2="00000009" w:usb3="00000000" w:csb0="400001FF" w:csb1="FFFF0000"/>
    <w:embedRegular r:id="rId6" w:fontKey="{78B78442-0F61-4F9C-BCBB-9127A9C2E927}"/>
  </w:font>
  <w:font w:name="Symbol">
    <w:panose1 w:val="05050102010706020507"/>
    <w:charset w:val="02"/>
    <w:family w:val="roman"/>
    <w:pitch w:val="default"/>
    <w:sig w:usb0="00000000" w:usb1="00000000" w:usb2="00000000" w:usb3="00000000" w:csb0="80000000" w:csb1="00000000"/>
    <w:embedRegular r:id="rId7" w:fontKey="{0E185A66-E9B3-4558-8EB4-91D85B8D1C5F}"/>
  </w:font>
  <w:font w:name="Calibri">
    <w:panose1 w:val="020F0502020204030204"/>
    <w:charset w:val="00"/>
    <w:family w:val="swiss"/>
    <w:pitch w:val="default"/>
    <w:sig w:usb0="E4002EFF" w:usb1="C000247B" w:usb2="00000009" w:usb3="00000000" w:csb0="200001FF" w:csb1="00000000"/>
    <w:embedRegular r:id="rId8" w:fontKey="{C81468CB-3C96-4500-B381-EBC592A78CC4}"/>
  </w:font>
  <w:font w:name="仿宋_GB2312">
    <w:panose1 w:val="02010609030101010101"/>
    <w:charset w:val="86"/>
    <w:family w:val="modern"/>
    <w:pitch w:val="default"/>
    <w:sig w:usb0="00000001" w:usb1="080E0000" w:usb2="00000000" w:usb3="00000000" w:csb0="00040000" w:csb1="00000000"/>
    <w:embedRegular r:id="rId9" w:fontKey="{465A956F-4329-408F-95ED-6DE2D762110D}"/>
  </w:font>
  <w:font w:name="方正小标宋简体">
    <w:panose1 w:val="02010600010101010101"/>
    <w:charset w:val="86"/>
    <w:family w:val="auto"/>
    <w:pitch w:val="default"/>
    <w:sig w:usb0="00000001" w:usb1="080E0000" w:usb2="00000000" w:usb3="00000000" w:csb0="00040000" w:csb1="00000000"/>
    <w:embedRegular r:id="rId10" w:fontKey="{785FE2B7-4342-433A-9B49-977AFCF64B2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4NTNkZWY5NjgzNTIyMDRiODk0ZTdjOTdiMTA0OTIifQ=="/>
  </w:docVars>
  <w:rsids>
    <w:rsidRoot w:val="FFEB6825"/>
    <w:rsid w:val="000A40FB"/>
    <w:rsid w:val="0019077B"/>
    <w:rsid w:val="001E6953"/>
    <w:rsid w:val="00302B94"/>
    <w:rsid w:val="003810EE"/>
    <w:rsid w:val="0057554B"/>
    <w:rsid w:val="00602771"/>
    <w:rsid w:val="006508BA"/>
    <w:rsid w:val="00665DE6"/>
    <w:rsid w:val="00677332"/>
    <w:rsid w:val="007B63C7"/>
    <w:rsid w:val="008957A6"/>
    <w:rsid w:val="008B0AC2"/>
    <w:rsid w:val="00905ADA"/>
    <w:rsid w:val="00951ADD"/>
    <w:rsid w:val="00A80596"/>
    <w:rsid w:val="00B00E79"/>
    <w:rsid w:val="00C75ECA"/>
    <w:rsid w:val="00D2487F"/>
    <w:rsid w:val="00D91076"/>
    <w:rsid w:val="00E81DFE"/>
    <w:rsid w:val="00F60848"/>
    <w:rsid w:val="00F74F2D"/>
    <w:rsid w:val="0A5A4E8B"/>
    <w:rsid w:val="17FE0021"/>
    <w:rsid w:val="1A852DB5"/>
    <w:rsid w:val="1B256F5C"/>
    <w:rsid w:val="1F90092A"/>
    <w:rsid w:val="320C48CB"/>
    <w:rsid w:val="33BD5A3B"/>
    <w:rsid w:val="3C7B6958"/>
    <w:rsid w:val="3DC5744E"/>
    <w:rsid w:val="46FC0964"/>
    <w:rsid w:val="491D5A61"/>
    <w:rsid w:val="644559D2"/>
    <w:rsid w:val="68967DAF"/>
    <w:rsid w:val="732B0439"/>
    <w:rsid w:val="7E0262A5"/>
    <w:rsid w:val="7FDFEE27"/>
    <w:rsid w:val="FFEB6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tabs>
        <w:tab w:val="center" w:pos="4153"/>
        <w:tab w:val="right" w:pos="8306"/>
      </w:tabs>
      <w:snapToGrid w:val="0"/>
      <w:jc w:val="center"/>
    </w:pPr>
    <w:rPr>
      <w:sz w:val="18"/>
      <w:szCs w:val="18"/>
    </w:rPr>
  </w:style>
  <w:style w:type="paragraph" w:styleId="5">
    <w:name w:val="annotation subject"/>
    <w:basedOn w:val="2"/>
    <w:next w:val="2"/>
    <w:link w:val="12"/>
    <w:qFormat/>
    <w:uiPriority w:val="0"/>
    <w:rPr>
      <w:b/>
      <w:bCs/>
    </w:rPr>
  </w:style>
  <w:style w:type="character" w:styleId="8">
    <w:name w:val="annotation reference"/>
    <w:basedOn w:val="7"/>
    <w:qFormat/>
    <w:uiPriority w:val="0"/>
    <w:rPr>
      <w:sz w:val="21"/>
      <w:szCs w:val="21"/>
    </w:rPr>
  </w:style>
  <w:style w:type="character" w:customStyle="1" w:styleId="9">
    <w:name w:val="页眉 字符"/>
    <w:basedOn w:val="7"/>
    <w:link w:val="4"/>
    <w:qFormat/>
    <w:uiPriority w:val="0"/>
    <w:rPr>
      <w:rFonts w:ascii="Calibri" w:hAnsi="Calibri" w:eastAsia="宋体" w:cs="Times New Roman"/>
      <w:kern w:val="2"/>
      <w:sz w:val="18"/>
      <w:szCs w:val="18"/>
    </w:rPr>
  </w:style>
  <w:style w:type="character" w:customStyle="1" w:styleId="10">
    <w:name w:val="页脚 字符"/>
    <w:basedOn w:val="7"/>
    <w:link w:val="3"/>
    <w:qFormat/>
    <w:uiPriority w:val="0"/>
    <w:rPr>
      <w:rFonts w:ascii="Calibri" w:hAnsi="Calibri" w:eastAsia="宋体" w:cs="Times New Roman"/>
      <w:kern w:val="2"/>
      <w:sz w:val="18"/>
      <w:szCs w:val="18"/>
    </w:rPr>
  </w:style>
  <w:style w:type="character" w:customStyle="1" w:styleId="11">
    <w:name w:val="批注文字 字符"/>
    <w:basedOn w:val="7"/>
    <w:link w:val="2"/>
    <w:qFormat/>
    <w:uiPriority w:val="0"/>
    <w:rPr>
      <w:rFonts w:ascii="Calibri" w:hAnsi="Calibri" w:eastAsia="宋体" w:cs="Times New Roman"/>
      <w:kern w:val="2"/>
      <w:sz w:val="21"/>
      <w:szCs w:val="24"/>
    </w:rPr>
  </w:style>
  <w:style w:type="character" w:customStyle="1" w:styleId="12">
    <w:name w:val="批注主题 字符"/>
    <w:basedOn w:val="11"/>
    <w:link w:val="5"/>
    <w:qFormat/>
    <w:uiPriority w:val="0"/>
    <w:rPr>
      <w:rFonts w:ascii="Calibri" w:hAnsi="Calibri" w:eastAsia="宋体" w:cs="Times New Roman"/>
      <w:b/>
      <w:bCs/>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cfe5ff9e-d768-42b9-ba53-9c9a6bc31a10</errorID>
      <errorWord>)</errorWord>
      <group>L1_Format</group>
      <groupName>格式问题</groupName>
      <ability>L2_HalfPunc_CN</ability>
      <abilityName>全半角检查</abilityName>
      <candidateList>
        <item>）</item>
      </candidateList>
      <explain>文本全半角错误。</explain>
      <paraID> 7CAC99E</paraID>
      <start>37</start>
      <end>38</end>
      <status>unmodified</status>
      <modifiedWord/>
      <trackRevisions>false</trackRevisions>
    </reviewItem>
    <reviewItem>
      <errorID>9ba4d64a-4cda-497e-b68d-372fb3e8a479</errorID>
      <errorWord>)</errorWord>
      <group>L1_Format</group>
      <groupName>格式问题</groupName>
      <ability>L2_HalfPunc_CN</ability>
      <abilityName>全半角检查</abilityName>
      <candidateList>
        <item>）</item>
      </candidateList>
      <explain>文本全半角错误。</explain>
      <paraID>50452C7F</paraID>
      <start>43</start>
      <end>44</end>
      <status>unmodified</status>
      <modifiedWord/>
      <trackRevisions>false</trackRevisions>
    </reviewItem>
    <reviewItem>
      <errorID>63d3df78-80e3-4bcc-b3e7-ff5e93961aeb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4B77A29B</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e88c76a4-92a2-4d8b-8a68-e8c665336dc2}">
  <ds:schemaRefs/>
</ds:datastoreItem>
</file>

<file path=docProps/app.xml><?xml version="1.0" encoding="utf-8"?>
<Properties xmlns="http://schemas.openxmlformats.org/officeDocument/2006/extended-properties" xmlns:vt="http://schemas.openxmlformats.org/officeDocument/2006/docPropsVTypes">
  <Template>Normal</Template>
  <Pages>5</Pages>
  <Words>1970</Words>
  <Characters>2163</Characters>
  <Lines>14</Lines>
  <Paragraphs>4</Paragraphs>
  <TotalTime>15</TotalTime>
  <ScaleCrop>false</ScaleCrop>
  <LinksUpToDate>false</LinksUpToDate>
  <CharactersWithSpaces>2188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2026-07-17T11:35:00Z</dcterms:created>
  <dc:creator>azzzzz</dc:creator>
  <cp:lastModifiedBy>王彬</cp:lastModifiedBy>
  <dcterms:modified xsi:type="dcterms:W3CDTF">2026-07-29T03:06:34Z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4B41619FEBAA49EEAB61ACBC3F9C2ACD_13</vt:lpwstr>
  </property>
  <property fmtid="{D5CDD505-2E9C-101B-9397-08002B2CF9AE}" pid="4" name="KSOTemplateDocerSaveRecord">
    <vt:lpwstr>eyJoZGlkIjoiZmU4NTUwZjkwMTBjYTRiNzVhYzFiY2Q3M2FmOGVhMTgiLCJ1c2VySWQiOiIxNDAxMTIwMzc4In0=</vt:lpwstr>
  </property>
</Properties>
</file>