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ascii="Times New Roman" w:hAnsi="Times New Roman" w:eastAsia="黑体"/>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附件2</w:t>
      </w:r>
    </w:p>
    <w:p>
      <w:pPr>
        <w:jc w:val="center"/>
        <w:rPr>
          <w:rFonts w:hint="eastAsia" w:ascii="方正小标宋简体" w:hAnsi="方正小标宋简体" w:eastAsia="方正小标宋简体"/>
          <w:bCs/>
          <w:color w:val="000000" w:themeColor="text1"/>
          <w:sz w:val="44"/>
          <w:szCs w:val="44"/>
          <w14:textFill>
            <w14:solidFill>
              <w14:schemeClr w14:val="tx1"/>
            </w14:solidFill>
          </w14:textFill>
        </w:rPr>
      </w:pPr>
      <w:r>
        <w:rPr>
          <w:rFonts w:hint="eastAsia" w:ascii="方正小标宋简体" w:hAnsi="方正小标宋简体" w:eastAsia="方正小标宋简体"/>
          <w:bCs/>
          <w:color w:val="000000" w:themeColor="text1"/>
          <w:sz w:val="44"/>
          <w:szCs w:val="44"/>
          <w14:textFill>
            <w14:solidFill>
              <w14:schemeClr w14:val="tx1"/>
            </w14:solidFill>
          </w14:textFill>
        </w:rPr>
        <w:t>评标原则及方法</w:t>
      </w:r>
    </w:p>
    <w:p>
      <w:pPr>
        <w:jc w:val="center"/>
        <w:rPr>
          <w:rFonts w:hint="eastAsia" w:ascii="方正小标宋简体" w:hAnsi="方正小标宋简体" w:eastAsia="方正小标宋简体"/>
          <w:bCs/>
          <w:color w:val="000000" w:themeColor="text1"/>
          <w:sz w:val="44"/>
          <w:szCs w:val="44"/>
          <w14:textFill>
            <w14:solidFill>
              <w14:schemeClr w14:val="tx1"/>
            </w14:solidFill>
          </w14:textFill>
        </w:rPr>
      </w:pPr>
    </w:p>
    <w:p>
      <w:pPr>
        <w:spacing w:line="560" w:lineRule="exact"/>
        <w:ind w:firstLine="640" w:firstLineChars="200"/>
        <w:jc w:val="left"/>
        <w:rPr>
          <w:rFonts w:hint="eastAsia" w:ascii="黑体" w:hAnsi="黑体" w:eastAsia="黑体" w:cs="黑体"/>
          <w:bCs/>
          <w:color w:val="000000" w:themeColor="text1"/>
          <w:sz w:val="32"/>
          <w:szCs w:val="32"/>
          <w14:textFill>
            <w14:solidFill>
              <w14:schemeClr w14:val="tx1"/>
            </w14:solidFill>
          </w14:textFill>
        </w:rPr>
      </w:pPr>
      <w:r>
        <w:rPr>
          <w:rFonts w:hint="eastAsia" w:ascii="黑体" w:hAnsi="黑体" w:eastAsia="黑体" w:cs="黑体"/>
          <w:bCs/>
          <w:color w:val="000000" w:themeColor="text1"/>
          <w:sz w:val="32"/>
          <w:szCs w:val="32"/>
          <w14:textFill>
            <w14:solidFill>
              <w14:schemeClr w14:val="tx1"/>
            </w14:solidFill>
          </w14:textFill>
        </w:rPr>
        <w:t>一、评标原则</w:t>
      </w:r>
    </w:p>
    <w:p>
      <w:pPr>
        <w:spacing w:line="560" w:lineRule="exact"/>
        <w:ind w:firstLine="640" w:firstLineChars="200"/>
        <w:jc w:val="left"/>
        <w:rPr>
          <w:rFonts w:hint="eastAsia" w:ascii="仿宋_GB2312" w:hAnsi="仿宋" w:eastAsia="仿宋_GB2312"/>
          <w:bCs/>
          <w:color w:val="000000" w:themeColor="text1"/>
          <w:sz w:val="32"/>
          <w:szCs w:val="32"/>
          <w14:textFill>
            <w14:solidFill>
              <w14:schemeClr w14:val="tx1"/>
            </w14:solidFill>
          </w14:textFill>
        </w:rPr>
      </w:pPr>
      <w:r>
        <w:rPr>
          <w:rFonts w:hint="eastAsia" w:ascii="仿宋_GB2312" w:hAnsi="仿宋" w:eastAsia="仿宋_GB2312"/>
          <w:bCs/>
          <w:color w:val="000000" w:themeColor="text1"/>
          <w:sz w:val="32"/>
          <w:szCs w:val="32"/>
          <w14:textFill>
            <w14:solidFill>
              <w14:schemeClr w14:val="tx1"/>
            </w14:solidFill>
          </w14:textFill>
        </w:rPr>
        <w:t>（一）本项目的评审小组由采购人单位按内控招标流程规则产生，共3 人或以上单数组成。</w:t>
      </w:r>
    </w:p>
    <w:p>
      <w:pPr>
        <w:spacing w:line="560" w:lineRule="exact"/>
        <w:ind w:firstLine="640" w:firstLineChars="200"/>
        <w:jc w:val="left"/>
        <w:rPr>
          <w:rFonts w:hint="eastAsia" w:ascii="仿宋_GB2312" w:hAnsi="仿宋" w:eastAsia="仿宋_GB2312"/>
          <w:bCs/>
          <w:color w:val="000000" w:themeColor="text1"/>
          <w:sz w:val="32"/>
          <w:szCs w:val="32"/>
          <w14:textFill>
            <w14:solidFill>
              <w14:schemeClr w14:val="tx1"/>
            </w14:solidFill>
          </w14:textFill>
        </w:rPr>
      </w:pPr>
      <w:r>
        <w:rPr>
          <w:rFonts w:hint="eastAsia" w:ascii="仿宋_GB2312" w:hAnsi="仿宋" w:eastAsia="仿宋_GB2312"/>
          <w:bCs/>
          <w:color w:val="000000" w:themeColor="text1"/>
          <w:sz w:val="32"/>
          <w:szCs w:val="32"/>
          <w14:textFill>
            <w14:solidFill>
              <w14:schemeClr w14:val="tx1"/>
            </w14:solidFill>
          </w14:textFill>
        </w:rPr>
        <w:t>（二）评审小组将以采购需求文件为依据，对供应商的价格、测评技术方案、拟投入技术人员、信誉、业绩各方面的内容按百分制打分。</w:t>
      </w:r>
    </w:p>
    <w:p>
      <w:pPr>
        <w:spacing w:line="560" w:lineRule="exact"/>
        <w:ind w:firstLine="640" w:firstLineChars="200"/>
        <w:jc w:val="left"/>
        <w:rPr>
          <w:rFonts w:hint="eastAsia" w:ascii="仿宋_GB2312" w:hAnsi="仿宋" w:eastAsia="仿宋_GB2312"/>
          <w:bCs/>
          <w:color w:val="000000" w:themeColor="text1"/>
          <w:sz w:val="32"/>
          <w:szCs w:val="32"/>
          <w14:textFill>
            <w14:solidFill>
              <w14:schemeClr w14:val="tx1"/>
            </w14:solidFill>
          </w14:textFill>
        </w:rPr>
      </w:pPr>
      <w:r>
        <w:rPr>
          <w:rFonts w:hint="eastAsia" w:ascii="仿宋_GB2312" w:hAnsi="仿宋" w:eastAsia="仿宋_GB2312"/>
          <w:bCs/>
          <w:color w:val="000000" w:themeColor="text1"/>
          <w:sz w:val="32"/>
          <w:szCs w:val="32"/>
          <w14:textFill>
            <w14:solidFill>
              <w14:schemeClr w14:val="tx1"/>
            </w14:solidFill>
          </w14:textFill>
        </w:rPr>
        <w:t>（三）评审方式：以封闭方式进行。</w:t>
      </w:r>
    </w:p>
    <w:p>
      <w:pPr>
        <w:spacing w:line="560" w:lineRule="exact"/>
        <w:ind w:firstLine="640" w:firstLineChars="200"/>
        <w:jc w:val="left"/>
        <w:rPr>
          <w:rFonts w:hint="eastAsia" w:ascii="黑体" w:hAnsi="黑体" w:eastAsia="黑体" w:cs="黑体"/>
          <w:bCs/>
          <w:color w:val="000000" w:themeColor="text1"/>
          <w:sz w:val="32"/>
          <w:szCs w:val="32"/>
          <w14:textFill>
            <w14:solidFill>
              <w14:schemeClr w14:val="tx1"/>
            </w14:solidFill>
          </w14:textFill>
        </w:rPr>
      </w:pPr>
      <w:r>
        <w:rPr>
          <w:rFonts w:hint="eastAsia" w:ascii="黑体" w:hAnsi="黑体" w:eastAsia="黑体" w:cs="黑体"/>
          <w:bCs/>
          <w:color w:val="000000" w:themeColor="text1"/>
          <w:sz w:val="32"/>
          <w:szCs w:val="32"/>
          <w14:textFill>
            <w14:solidFill>
              <w14:schemeClr w14:val="tx1"/>
            </w14:solidFill>
          </w14:textFill>
        </w:rPr>
        <w:t>二、评标方法</w:t>
      </w:r>
    </w:p>
    <w:p>
      <w:pPr>
        <w:spacing w:line="560" w:lineRule="exact"/>
        <w:ind w:firstLine="640" w:firstLineChars="200"/>
        <w:jc w:val="left"/>
        <w:rPr>
          <w:rFonts w:hint="eastAsia" w:ascii="仿宋_GB2312" w:hAnsi="仿宋" w:eastAsia="仿宋_GB2312"/>
          <w:bCs/>
          <w:color w:val="000000" w:themeColor="text1"/>
          <w:sz w:val="32"/>
          <w:szCs w:val="32"/>
          <w14:textFill>
            <w14:solidFill>
              <w14:schemeClr w14:val="tx1"/>
            </w14:solidFill>
          </w14:textFill>
        </w:rPr>
      </w:pPr>
      <w:r>
        <w:rPr>
          <w:rFonts w:hint="eastAsia" w:ascii="仿宋_GB2312" w:hAnsi="仿宋" w:eastAsia="仿宋_GB2312"/>
          <w:bCs/>
          <w:color w:val="000000" w:themeColor="text1"/>
          <w:sz w:val="32"/>
          <w:szCs w:val="32"/>
          <w14:textFill>
            <w14:solidFill>
              <w14:schemeClr w14:val="tx1"/>
            </w14:solidFill>
          </w14:textFill>
        </w:rPr>
        <w:t>（一）对进入综合评分的，采用百分制综合评分法。</w:t>
      </w:r>
    </w:p>
    <w:p>
      <w:pPr>
        <w:spacing w:line="560" w:lineRule="exact"/>
        <w:ind w:firstLine="640" w:firstLineChars="200"/>
        <w:jc w:val="left"/>
        <w:rPr>
          <w:rFonts w:hint="eastAsia" w:ascii="仿宋_GB2312" w:hAnsi="仿宋" w:eastAsia="仿宋_GB2312"/>
          <w:bCs/>
          <w:color w:val="000000" w:themeColor="text1"/>
          <w:sz w:val="32"/>
          <w:szCs w:val="32"/>
          <w14:textFill>
            <w14:solidFill>
              <w14:schemeClr w14:val="tx1"/>
            </w14:solidFill>
          </w14:textFill>
        </w:rPr>
      </w:pPr>
      <w:r>
        <w:rPr>
          <w:rFonts w:hint="eastAsia" w:ascii="仿宋_GB2312" w:hAnsi="仿宋" w:eastAsia="仿宋_GB2312"/>
          <w:bCs/>
          <w:color w:val="000000" w:themeColor="text1"/>
          <w:sz w:val="32"/>
          <w:szCs w:val="32"/>
          <w14:textFill>
            <w14:solidFill>
              <w14:schemeClr w14:val="tx1"/>
            </w14:solidFill>
          </w14:textFill>
        </w:rPr>
        <w:t>（二）计分办法（按四舍五入取至百分位）：</w:t>
      </w:r>
    </w:p>
    <w:p>
      <w:pPr>
        <w:spacing w:line="560" w:lineRule="exact"/>
        <w:ind w:firstLine="643" w:firstLineChars="200"/>
        <w:jc w:val="left"/>
        <w:rPr>
          <w:rFonts w:hint="eastAsia" w:ascii="仿宋_GB2312" w:hAnsi="仿宋" w:eastAsia="仿宋_GB2312"/>
          <w:b/>
          <w:color w:val="000000" w:themeColor="text1"/>
          <w:sz w:val="32"/>
          <w:szCs w:val="32"/>
          <w14:textFill>
            <w14:solidFill>
              <w14:schemeClr w14:val="tx1"/>
            </w14:solidFill>
          </w14:textFill>
        </w:rPr>
      </w:pPr>
      <w:r>
        <w:rPr>
          <w:rFonts w:hint="eastAsia" w:ascii="仿宋_GB2312" w:hAnsi="仿宋" w:eastAsia="仿宋_GB2312"/>
          <w:b/>
          <w:color w:val="000000" w:themeColor="text1"/>
          <w:sz w:val="32"/>
          <w:szCs w:val="32"/>
          <w14:textFill>
            <w14:solidFill>
              <w14:schemeClr w14:val="tx1"/>
            </w14:solidFill>
          </w14:textFill>
        </w:rPr>
        <w:t>1.价格分（10 分）</w:t>
      </w:r>
    </w:p>
    <w:p>
      <w:pPr>
        <w:spacing w:line="560" w:lineRule="exact"/>
        <w:ind w:firstLine="640" w:firstLineChars="200"/>
        <w:jc w:val="left"/>
        <w:rPr>
          <w:rFonts w:hint="eastAsia" w:ascii="仿宋_GB2312" w:hAnsi="仿宋" w:eastAsia="仿宋_GB2312"/>
          <w:bCs/>
          <w:color w:val="000000" w:themeColor="text1"/>
          <w:sz w:val="32"/>
          <w:szCs w:val="32"/>
          <w14:textFill>
            <w14:solidFill>
              <w14:schemeClr w14:val="tx1"/>
            </w14:solidFill>
          </w14:textFill>
        </w:rPr>
      </w:pPr>
      <w:r>
        <w:rPr>
          <w:rFonts w:hint="eastAsia" w:ascii="仿宋_GB2312" w:hAnsi="仿宋" w:eastAsia="仿宋_GB2312"/>
          <w:bCs/>
          <w:color w:val="000000" w:themeColor="text1"/>
          <w:sz w:val="32"/>
          <w:szCs w:val="32"/>
          <w14:textFill>
            <w14:solidFill>
              <w14:schemeClr w14:val="tx1"/>
            </w14:solidFill>
          </w14:textFill>
        </w:rPr>
        <w:t>（1）以满足采购文件要求且最后报价最低的供应商的价格为评审基准价，其价格分为10分。</w:t>
      </w:r>
    </w:p>
    <w:p>
      <w:pPr>
        <w:spacing w:line="560" w:lineRule="exact"/>
        <w:ind w:firstLine="640" w:firstLineChars="200"/>
        <w:jc w:val="left"/>
        <w:rPr>
          <w:rFonts w:hint="eastAsia" w:ascii="仿宋_GB2312" w:hAnsi="仿宋" w:eastAsia="仿宋_GB2312"/>
          <w:bCs/>
          <w:color w:val="000000" w:themeColor="text1"/>
          <w:sz w:val="32"/>
          <w:szCs w:val="32"/>
          <w14:textFill>
            <w14:solidFill>
              <w14:schemeClr w14:val="tx1"/>
            </w14:solidFill>
          </w14:textFill>
        </w:rPr>
      </w:pPr>
      <w:r>
        <w:rPr>
          <w:rFonts w:hint="eastAsia" w:ascii="仿宋_GB2312" w:hAnsi="仿宋" w:eastAsia="仿宋_GB2312"/>
          <w:bCs/>
          <w:color w:val="000000" w:themeColor="text1"/>
          <w:sz w:val="32"/>
          <w:szCs w:val="32"/>
          <w14:textFill>
            <w14:solidFill>
              <w14:schemeClr w14:val="tx1"/>
            </w14:solidFill>
          </w14:textFill>
        </w:rPr>
        <w:t>（2）本项目专门面向小微企业采购，需提供《中小企业声明函》，不执行价格扣除，评标价=响应报价。</w:t>
      </w:r>
    </w:p>
    <w:p>
      <w:pPr>
        <w:spacing w:line="560" w:lineRule="exact"/>
        <w:ind w:firstLine="640" w:firstLineChars="200"/>
        <w:jc w:val="left"/>
        <w:rPr>
          <w:rFonts w:hint="eastAsia" w:ascii="仿宋_GB2312" w:hAnsi="仿宋" w:eastAsia="仿宋_GB2312"/>
          <w:bCs/>
          <w:color w:val="000000" w:themeColor="text1"/>
          <w:sz w:val="32"/>
          <w:szCs w:val="32"/>
          <w14:textFill>
            <w14:solidFill>
              <w14:schemeClr w14:val="tx1"/>
            </w14:solidFill>
          </w14:textFill>
        </w:rPr>
      </w:pPr>
      <w:r>
        <w:rPr>
          <w:rFonts w:hint="eastAsia" w:ascii="仿宋_GB2312" w:hAnsi="仿宋" w:eastAsia="仿宋_GB2312"/>
          <w:bCs/>
          <w:color w:val="000000" w:themeColor="text1"/>
          <w:sz w:val="32"/>
          <w:szCs w:val="32"/>
          <w14:textFill>
            <w14:solidFill>
              <w14:schemeClr w14:val="tx1"/>
            </w14:solidFill>
          </w14:textFill>
        </w:rPr>
        <w:t>（3）投标报价得分=（评标基准价/投标报价）×10。</w:t>
      </w:r>
    </w:p>
    <w:p>
      <w:pPr>
        <w:spacing w:line="560" w:lineRule="exact"/>
        <w:ind w:firstLine="643" w:firstLineChars="200"/>
        <w:jc w:val="left"/>
        <w:rPr>
          <w:rFonts w:hint="eastAsia" w:ascii="仿宋_GB2312" w:hAnsi="仿宋" w:eastAsia="仿宋_GB2312"/>
          <w:b/>
          <w:color w:val="000000" w:themeColor="text1"/>
          <w:sz w:val="32"/>
          <w:szCs w:val="32"/>
          <w14:textFill>
            <w14:solidFill>
              <w14:schemeClr w14:val="tx1"/>
            </w14:solidFill>
          </w14:textFill>
        </w:rPr>
      </w:pPr>
      <w:r>
        <w:rPr>
          <w:rFonts w:hint="eastAsia" w:ascii="仿宋_GB2312" w:hAnsi="仿宋" w:eastAsia="仿宋_GB2312"/>
          <w:b/>
          <w:color w:val="000000" w:themeColor="text1"/>
          <w:sz w:val="32"/>
          <w:szCs w:val="32"/>
          <w14:textFill>
            <w14:solidFill>
              <w14:schemeClr w14:val="tx1"/>
            </w14:solidFill>
          </w14:textFill>
        </w:rPr>
        <w:t>2.测评技术方案分（45分）</w:t>
      </w:r>
    </w:p>
    <w:p>
      <w:pPr>
        <w:spacing w:line="560" w:lineRule="exact"/>
        <w:ind w:firstLine="640" w:firstLineChars="200"/>
        <w:jc w:val="left"/>
        <w:rPr>
          <w:rFonts w:hint="eastAsia" w:ascii="仿宋_GB2312" w:hAnsi="仿宋" w:eastAsia="仿宋_GB2312"/>
          <w:bCs/>
          <w:color w:val="000000" w:themeColor="text1"/>
          <w:sz w:val="32"/>
          <w:szCs w:val="32"/>
          <w14:textFill>
            <w14:solidFill>
              <w14:schemeClr w14:val="tx1"/>
            </w14:solidFill>
          </w14:textFill>
        </w:rPr>
      </w:pPr>
      <w:bookmarkStart w:id="0" w:name="_Toc14893"/>
      <w:r>
        <w:rPr>
          <w:rFonts w:hint="eastAsia" w:ascii="仿宋_GB2312" w:hAnsi="仿宋" w:eastAsia="仿宋_GB2312"/>
          <w:bCs/>
          <w:color w:val="000000" w:themeColor="text1"/>
          <w:sz w:val="32"/>
          <w:szCs w:val="32"/>
          <w14:textFill>
            <w14:solidFill>
              <w14:schemeClr w14:val="tx1"/>
            </w14:solidFill>
          </w14:textFill>
        </w:rPr>
        <w:t>（1）技术服务方案（满分27分）</w:t>
      </w:r>
    </w:p>
    <w:p>
      <w:pPr>
        <w:spacing w:line="560" w:lineRule="exact"/>
        <w:ind w:firstLine="640" w:firstLineChars="200"/>
        <w:jc w:val="left"/>
        <w:rPr>
          <w:rFonts w:hint="eastAsia" w:ascii="仿宋_GB2312" w:hAnsi="仿宋" w:eastAsia="仿宋_GB2312"/>
          <w:bCs/>
          <w:color w:val="000000" w:themeColor="text1"/>
          <w:sz w:val="32"/>
          <w:szCs w:val="32"/>
          <w14:textFill>
            <w14:solidFill>
              <w14:schemeClr w14:val="tx1"/>
            </w14:solidFill>
          </w14:textFill>
        </w:rPr>
      </w:pPr>
      <w:r>
        <w:rPr>
          <w:rFonts w:hint="eastAsia" w:ascii="仿宋_GB2312" w:hAnsi="仿宋" w:eastAsia="仿宋_GB2312"/>
          <w:bCs/>
          <w:color w:val="000000" w:themeColor="text1"/>
          <w:sz w:val="32"/>
          <w:szCs w:val="32"/>
          <w14:textFill>
            <w14:solidFill>
              <w14:schemeClr w14:val="tx1"/>
            </w14:solidFill>
          </w14:textFill>
        </w:rPr>
        <w:t>一档（9分）：基本理解本项目的建设背景、目标、范围，基本把握本项目的技术重点、难点，提出了基本可行的测评方案。</w:t>
      </w:r>
    </w:p>
    <w:p>
      <w:pPr>
        <w:spacing w:line="560" w:lineRule="exact"/>
        <w:ind w:firstLine="640" w:firstLineChars="200"/>
        <w:jc w:val="left"/>
        <w:rPr>
          <w:rFonts w:hint="eastAsia" w:ascii="仿宋_GB2312" w:hAnsi="仿宋" w:eastAsia="仿宋_GB2312"/>
          <w:bCs/>
          <w:color w:val="000000" w:themeColor="text1"/>
          <w:sz w:val="32"/>
          <w:szCs w:val="32"/>
          <w14:textFill>
            <w14:solidFill>
              <w14:schemeClr w14:val="tx1"/>
            </w14:solidFill>
          </w14:textFill>
        </w:rPr>
      </w:pPr>
      <w:r>
        <w:rPr>
          <w:rFonts w:hint="eastAsia" w:ascii="仿宋_GB2312" w:hAnsi="仿宋" w:eastAsia="仿宋_GB2312"/>
          <w:bCs/>
          <w:color w:val="000000" w:themeColor="text1"/>
          <w:sz w:val="32"/>
          <w:szCs w:val="32"/>
          <w14:textFill>
            <w14:solidFill>
              <w14:schemeClr w14:val="tx1"/>
            </w14:solidFill>
          </w14:textFill>
        </w:rPr>
        <w:t>二档（18分）：较准确理解本项目的建设背景、目标、范围，能够把握本项目的技术重点、难点，提出了比较可行的测评方案，需求分析具有针对性，技术方案与需求契合度良好。</w:t>
      </w:r>
    </w:p>
    <w:p>
      <w:pPr>
        <w:spacing w:line="560" w:lineRule="exact"/>
        <w:ind w:firstLine="640" w:firstLineChars="200"/>
        <w:jc w:val="left"/>
        <w:rPr>
          <w:rFonts w:hint="eastAsia" w:ascii="仿宋_GB2312" w:hAnsi="仿宋" w:eastAsia="仿宋_GB2312"/>
          <w:bCs/>
          <w:color w:val="000000" w:themeColor="text1"/>
          <w:sz w:val="32"/>
          <w:szCs w:val="32"/>
          <w14:textFill>
            <w14:solidFill>
              <w14:schemeClr w14:val="tx1"/>
            </w14:solidFill>
          </w14:textFill>
        </w:rPr>
      </w:pPr>
      <w:r>
        <w:rPr>
          <w:rFonts w:hint="eastAsia" w:ascii="仿宋_GB2312" w:hAnsi="仿宋" w:eastAsia="仿宋_GB2312"/>
          <w:bCs/>
          <w:color w:val="000000" w:themeColor="text1"/>
          <w:sz w:val="32"/>
          <w:szCs w:val="32"/>
          <w14:textFill>
            <w14:solidFill>
              <w14:schemeClr w14:val="tx1"/>
            </w14:solidFill>
          </w14:textFill>
        </w:rPr>
        <w:t>三档（27分）：完全准确理解本项目的建设背景、目标、范围，准确把握本项目的技术重点、难点，提出了详细、完善、全面可行的测评方案。能详细描述投入项目测评的主要内容、提供主要测评设备的型号、测评方法，提供的技术方案最大限度满足招标文件的系统需求，需求分析具有针对性，技术方案与需求契合度高。</w:t>
      </w:r>
    </w:p>
    <w:p>
      <w:pPr>
        <w:spacing w:line="560" w:lineRule="exact"/>
        <w:ind w:firstLine="640" w:firstLineChars="200"/>
        <w:jc w:val="left"/>
        <w:rPr>
          <w:rFonts w:hint="eastAsia" w:ascii="仿宋_GB2312" w:hAnsi="仿宋" w:eastAsia="仿宋_GB2312"/>
          <w:bCs/>
          <w:color w:val="000000" w:themeColor="text1"/>
          <w:sz w:val="32"/>
          <w:szCs w:val="32"/>
          <w14:textFill>
            <w14:solidFill>
              <w14:schemeClr w14:val="tx1"/>
            </w14:solidFill>
          </w14:textFill>
        </w:rPr>
      </w:pPr>
      <w:r>
        <w:rPr>
          <w:rFonts w:hint="eastAsia" w:ascii="仿宋_GB2312" w:hAnsi="仿宋" w:eastAsia="仿宋_GB2312"/>
          <w:bCs/>
          <w:color w:val="000000" w:themeColor="text1"/>
          <w:sz w:val="32"/>
          <w:szCs w:val="32"/>
          <w14:textFill>
            <w14:solidFill>
              <w14:schemeClr w14:val="tx1"/>
            </w14:solidFill>
          </w14:textFill>
        </w:rPr>
        <w:t>（2）售后服务方案（满分18分）</w:t>
      </w:r>
    </w:p>
    <w:p>
      <w:pPr>
        <w:spacing w:line="560" w:lineRule="exact"/>
        <w:ind w:firstLine="640" w:firstLineChars="200"/>
        <w:jc w:val="left"/>
        <w:rPr>
          <w:rFonts w:hint="eastAsia" w:ascii="仿宋_GB2312" w:hAnsi="仿宋" w:eastAsia="仿宋_GB2312"/>
          <w:bCs/>
          <w:color w:val="000000" w:themeColor="text1"/>
          <w:sz w:val="32"/>
          <w:szCs w:val="32"/>
          <w14:textFill>
            <w14:solidFill>
              <w14:schemeClr w14:val="tx1"/>
            </w14:solidFill>
          </w14:textFill>
        </w:rPr>
      </w:pPr>
      <w:r>
        <w:rPr>
          <w:rFonts w:hint="eastAsia" w:ascii="仿宋_GB2312" w:hAnsi="仿宋" w:eastAsia="仿宋_GB2312"/>
          <w:bCs/>
          <w:color w:val="000000" w:themeColor="text1"/>
          <w:sz w:val="32"/>
          <w:szCs w:val="32"/>
          <w14:textFill>
            <w14:solidFill>
              <w14:schemeClr w14:val="tx1"/>
            </w14:solidFill>
          </w14:textFill>
        </w:rPr>
        <w:t>一档（6分）：提供售后服务方案，方案简单，基本满足项目需求。</w:t>
      </w:r>
    </w:p>
    <w:p>
      <w:pPr>
        <w:spacing w:line="560" w:lineRule="exact"/>
        <w:ind w:firstLine="640" w:firstLineChars="200"/>
        <w:jc w:val="left"/>
        <w:rPr>
          <w:rFonts w:hint="eastAsia" w:ascii="仿宋_GB2312" w:hAnsi="仿宋" w:eastAsia="仿宋_GB2312"/>
          <w:bCs/>
          <w:color w:val="000000" w:themeColor="text1"/>
          <w:sz w:val="32"/>
          <w:szCs w:val="32"/>
          <w14:textFill>
            <w14:solidFill>
              <w14:schemeClr w14:val="tx1"/>
            </w14:solidFill>
          </w14:textFill>
        </w:rPr>
      </w:pPr>
      <w:r>
        <w:rPr>
          <w:rFonts w:hint="eastAsia" w:ascii="仿宋_GB2312" w:hAnsi="仿宋" w:eastAsia="仿宋_GB2312"/>
          <w:bCs/>
          <w:color w:val="000000" w:themeColor="text1"/>
          <w:sz w:val="32"/>
          <w:szCs w:val="32"/>
          <w14:textFill>
            <w14:solidFill>
              <w14:schemeClr w14:val="tx1"/>
            </w14:solidFill>
          </w14:textFill>
        </w:rPr>
        <w:t>二档（12分）：提供售后服务方案，方案包含有服务保障方案、售后服务响应方案，方案可行、较详细。</w:t>
      </w:r>
    </w:p>
    <w:p>
      <w:pPr>
        <w:spacing w:line="560" w:lineRule="exact"/>
        <w:ind w:firstLine="640" w:firstLineChars="200"/>
        <w:jc w:val="left"/>
        <w:rPr>
          <w:rFonts w:hint="eastAsia" w:ascii="仿宋_GB2312" w:hAnsi="仿宋" w:eastAsia="仿宋_GB2312"/>
          <w:bCs/>
          <w:color w:val="000000" w:themeColor="text1"/>
          <w:sz w:val="32"/>
          <w:szCs w:val="32"/>
          <w14:textFill>
            <w14:solidFill>
              <w14:schemeClr w14:val="tx1"/>
            </w14:solidFill>
          </w14:textFill>
        </w:rPr>
      </w:pPr>
      <w:r>
        <w:rPr>
          <w:rFonts w:hint="eastAsia" w:ascii="仿宋_GB2312" w:hAnsi="仿宋" w:eastAsia="仿宋_GB2312"/>
          <w:bCs/>
          <w:color w:val="000000" w:themeColor="text1"/>
          <w:sz w:val="32"/>
          <w:szCs w:val="32"/>
          <w14:textFill>
            <w14:solidFill>
              <w14:schemeClr w14:val="tx1"/>
            </w14:solidFill>
          </w14:textFill>
        </w:rPr>
        <w:t>三档（18分）：提供售后服务方案，方案包含有培训方案、应急处置方案、服务保障方案、保密方案、售后服务响应方案，方案可行性强，具有本地化服务能力，指定专人作为项目联系人。</w:t>
      </w:r>
    </w:p>
    <w:p>
      <w:pPr>
        <w:spacing w:line="560" w:lineRule="exact"/>
        <w:ind w:firstLine="640" w:firstLineChars="200"/>
        <w:jc w:val="left"/>
        <w:rPr>
          <w:rFonts w:hint="eastAsia" w:ascii="仿宋_GB2312" w:hAnsi="仿宋" w:eastAsia="仿宋_GB2312"/>
          <w:bCs/>
          <w:color w:val="000000" w:themeColor="text1"/>
          <w:sz w:val="32"/>
          <w:szCs w:val="32"/>
          <w14:textFill>
            <w14:solidFill>
              <w14:schemeClr w14:val="tx1"/>
            </w14:solidFill>
          </w14:textFill>
        </w:rPr>
      </w:pPr>
      <w:r>
        <w:rPr>
          <w:rFonts w:hint="eastAsia" w:ascii="仿宋_GB2312" w:hAnsi="仿宋" w:eastAsia="仿宋_GB2312"/>
          <w:bCs/>
          <w:color w:val="000000" w:themeColor="text1"/>
          <w:sz w:val="32"/>
          <w:szCs w:val="32"/>
          <w14:textFill>
            <w14:solidFill>
              <w14:schemeClr w14:val="tx1"/>
            </w14:solidFill>
          </w14:textFill>
        </w:rPr>
        <w:t>注：不响应国家标准测评项目内容，以及未提供项目技术服务方案或未达到最低档次标准的，得0分。</w:t>
      </w:r>
    </w:p>
    <w:p>
      <w:pPr>
        <w:spacing w:line="560" w:lineRule="exact"/>
        <w:ind w:firstLine="643" w:firstLineChars="200"/>
        <w:jc w:val="left"/>
        <w:rPr>
          <w:rFonts w:hint="eastAsia" w:ascii="仿宋_GB2312" w:hAnsi="仿宋" w:eastAsia="仿宋_GB2312"/>
          <w:b/>
          <w:color w:val="000000" w:themeColor="text1"/>
          <w:sz w:val="32"/>
          <w:szCs w:val="32"/>
          <w14:textFill>
            <w14:solidFill>
              <w14:schemeClr w14:val="tx1"/>
            </w14:solidFill>
          </w14:textFill>
        </w:rPr>
      </w:pPr>
      <w:r>
        <w:rPr>
          <w:rFonts w:hint="eastAsia" w:ascii="仿宋_GB2312" w:hAnsi="仿宋" w:eastAsia="仿宋_GB2312"/>
          <w:b/>
          <w:color w:val="000000" w:themeColor="text1"/>
          <w:sz w:val="32"/>
          <w:szCs w:val="32"/>
          <w14:textFill>
            <w14:solidFill>
              <w14:schemeClr w14:val="tx1"/>
            </w14:solidFill>
          </w14:textFill>
        </w:rPr>
        <w:t>3.技术人员分（29分）</w:t>
      </w:r>
    </w:p>
    <w:p>
      <w:pPr>
        <w:spacing w:line="560" w:lineRule="exact"/>
        <w:ind w:firstLine="640" w:firstLineChars="200"/>
        <w:jc w:val="left"/>
        <w:rPr>
          <w:rFonts w:hint="eastAsia" w:ascii="仿宋_GB2312" w:hAnsi="仿宋" w:eastAsia="仿宋_GB2312"/>
          <w:bCs/>
          <w:color w:val="000000" w:themeColor="text1"/>
          <w:sz w:val="32"/>
          <w:szCs w:val="32"/>
          <w14:textFill>
            <w14:solidFill>
              <w14:schemeClr w14:val="tx1"/>
            </w14:solidFill>
          </w14:textFill>
        </w:rPr>
      </w:pPr>
      <w:r>
        <w:rPr>
          <w:rFonts w:hint="eastAsia" w:ascii="仿宋_GB2312" w:hAnsi="仿宋" w:eastAsia="仿宋_GB2312"/>
          <w:bCs/>
          <w:color w:val="000000" w:themeColor="text1"/>
          <w:sz w:val="32"/>
          <w:szCs w:val="32"/>
          <w14:textFill>
            <w14:solidFill>
              <w14:schemeClr w14:val="tx1"/>
            </w14:solidFill>
          </w14:textFill>
        </w:rPr>
        <w:t>（1）项目经理1名（满分10分）</w:t>
      </w:r>
    </w:p>
    <w:p>
      <w:pPr>
        <w:spacing w:line="560" w:lineRule="exact"/>
        <w:ind w:firstLine="640" w:firstLineChars="200"/>
        <w:jc w:val="left"/>
        <w:rPr>
          <w:rFonts w:hint="eastAsia" w:ascii="仿宋_GB2312" w:hAnsi="仿宋" w:eastAsia="仿宋_GB2312"/>
          <w:bCs/>
          <w:color w:val="000000" w:themeColor="text1"/>
          <w:sz w:val="32"/>
          <w:szCs w:val="32"/>
          <w14:textFill>
            <w14:solidFill>
              <w14:schemeClr w14:val="tx1"/>
            </w14:solidFill>
          </w14:textFill>
        </w:rPr>
      </w:pPr>
      <w:r>
        <w:rPr>
          <w:rFonts w:hint="eastAsia" w:ascii="仿宋_GB2312" w:hAnsi="仿宋" w:eastAsia="仿宋_GB2312"/>
          <w:bCs/>
          <w:color w:val="000000" w:themeColor="text1"/>
          <w:sz w:val="32"/>
          <w:szCs w:val="32"/>
          <w14:textFill>
            <w14:solidFill>
              <w14:schemeClr w14:val="tx1"/>
            </w14:solidFill>
          </w14:textFill>
        </w:rPr>
        <w:t>1、项目经理应具有计算机技术与软件专业技术资格证书-软件评测师证书（软考中级），得4分；</w:t>
      </w:r>
    </w:p>
    <w:p>
      <w:pPr>
        <w:spacing w:line="560" w:lineRule="exact"/>
        <w:ind w:firstLine="640" w:firstLineChars="200"/>
        <w:jc w:val="left"/>
        <w:rPr>
          <w:rFonts w:hint="eastAsia" w:ascii="仿宋_GB2312" w:hAnsi="仿宋" w:eastAsia="仿宋_GB2312"/>
          <w:bCs/>
          <w:color w:val="000000" w:themeColor="text1"/>
          <w:sz w:val="32"/>
          <w:szCs w:val="32"/>
          <w14:textFill>
            <w14:solidFill>
              <w14:schemeClr w14:val="tx1"/>
            </w14:solidFill>
          </w14:textFill>
        </w:rPr>
      </w:pPr>
      <w:r>
        <w:rPr>
          <w:rFonts w:hint="eastAsia" w:ascii="仿宋_GB2312" w:hAnsi="仿宋" w:eastAsia="仿宋_GB2312"/>
          <w:bCs/>
          <w:color w:val="000000" w:themeColor="text1"/>
          <w:sz w:val="32"/>
          <w:szCs w:val="32"/>
          <w14:textFill>
            <w14:solidFill>
              <w14:schemeClr w14:val="tx1"/>
            </w14:solidFill>
          </w14:textFill>
        </w:rPr>
        <w:t>2、具有省或自治区级人力资源和社会保障部门颁发的软件工程或计算机相关专业中级或以上职称证书，得3分；</w:t>
      </w:r>
    </w:p>
    <w:p>
      <w:pPr>
        <w:spacing w:line="560" w:lineRule="exact"/>
        <w:ind w:firstLine="640" w:firstLineChars="200"/>
        <w:jc w:val="left"/>
        <w:rPr>
          <w:rFonts w:hint="eastAsia" w:ascii="仿宋_GB2312" w:hAnsi="仿宋" w:eastAsia="仿宋_GB2312"/>
          <w:bCs/>
          <w:color w:val="000000" w:themeColor="text1"/>
          <w:sz w:val="32"/>
          <w:szCs w:val="32"/>
          <w14:textFill>
            <w14:solidFill>
              <w14:schemeClr w14:val="tx1"/>
            </w14:solidFill>
          </w14:textFill>
        </w:rPr>
      </w:pPr>
      <w:r>
        <w:rPr>
          <w:rFonts w:hint="eastAsia" w:ascii="仿宋_GB2312" w:hAnsi="仿宋" w:eastAsia="仿宋_GB2312"/>
          <w:bCs/>
          <w:color w:val="000000" w:themeColor="text1"/>
          <w:sz w:val="32"/>
          <w:szCs w:val="32"/>
          <w14:textFill>
            <w14:solidFill>
              <w14:schemeClr w14:val="tx1"/>
            </w14:solidFill>
          </w14:textFill>
        </w:rPr>
        <w:t>3、具有工业和信息化部教育与考试中心颁发的软件质量检验师证书，得3分。</w:t>
      </w:r>
    </w:p>
    <w:p>
      <w:pPr>
        <w:numPr>
          <w:ilvl w:val="0"/>
          <w:numId w:val="1"/>
        </w:numPr>
        <w:spacing w:line="560" w:lineRule="exact"/>
        <w:ind w:firstLine="640" w:firstLineChars="200"/>
        <w:jc w:val="left"/>
        <w:rPr>
          <w:rFonts w:hint="eastAsia" w:ascii="仿宋_GB2312" w:hAnsi="仿宋" w:eastAsia="仿宋_GB2312"/>
          <w:bCs/>
          <w:color w:val="000000" w:themeColor="text1"/>
          <w:sz w:val="32"/>
          <w:szCs w:val="32"/>
          <w14:textFill>
            <w14:solidFill>
              <w14:schemeClr w14:val="tx1"/>
            </w14:solidFill>
          </w14:textFill>
        </w:rPr>
      </w:pPr>
      <w:r>
        <w:rPr>
          <w:rFonts w:hint="eastAsia" w:ascii="仿宋_GB2312" w:hAnsi="仿宋" w:eastAsia="仿宋_GB2312"/>
          <w:bCs/>
          <w:color w:val="000000" w:themeColor="text1"/>
          <w:sz w:val="32"/>
          <w:szCs w:val="32"/>
          <w14:textFill>
            <w14:solidFill>
              <w14:schemeClr w14:val="tx1"/>
            </w14:solidFill>
          </w14:textFill>
        </w:rPr>
        <w:t>技术负责人1名（满分7分）</w:t>
      </w:r>
    </w:p>
    <w:p>
      <w:pPr>
        <w:numPr>
          <w:ilvl w:val="0"/>
          <w:numId w:val="2"/>
        </w:numPr>
        <w:spacing w:line="560" w:lineRule="exact"/>
        <w:ind w:firstLine="640" w:firstLineChars="200"/>
        <w:jc w:val="left"/>
        <w:rPr>
          <w:rFonts w:hint="eastAsia" w:ascii="仿宋_GB2312" w:hAnsi="仿宋" w:eastAsia="仿宋_GB2312"/>
          <w:bCs/>
          <w:color w:val="000000" w:themeColor="text1"/>
          <w:sz w:val="32"/>
          <w:szCs w:val="32"/>
          <w14:textFill>
            <w14:solidFill>
              <w14:schemeClr w14:val="tx1"/>
            </w14:solidFill>
          </w14:textFill>
        </w:rPr>
      </w:pPr>
      <w:r>
        <w:rPr>
          <w:rFonts w:hint="eastAsia" w:ascii="仿宋_GB2312" w:hAnsi="仿宋" w:eastAsia="仿宋_GB2312"/>
          <w:bCs/>
          <w:color w:val="000000" w:themeColor="text1"/>
          <w:sz w:val="32"/>
          <w:szCs w:val="32"/>
          <w14:textFill>
            <w14:solidFill>
              <w14:schemeClr w14:val="tx1"/>
            </w14:solidFill>
          </w14:textFill>
        </w:rPr>
        <w:t>具有计算机技术与软件专业技术资格证书-软件评测师证书（软考中级），得4分；</w:t>
      </w:r>
    </w:p>
    <w:p>
      <w:pPr>
        <w:numPr>
          <w:ilvl w:val="0"/>
          <w:numId w:val="2"/>
        </w:numPr>
        <w:spacing w:line="560" w:lineRule="exact"/>
        <w:ind w:firstLine="640" w:firstLineChars="200"/>
        <w:jc w:val="left"/>
        <w:rPr>
          <w:rFonts w:hint="eastAsia" w:ascii="仿宋_GB2312" w:hAnsi="仿宋" w:eastAsia="仿宋_GB2312"/>
          <w:bCs/>
          <w:color w:val="000000" w:themeColor="text1"/>
          <w:sz w:val="32"/>
          <w:szCs w:val="32"/>
          <w14:textFill>
            <w14:solidFill>
              <w14:schemeClr w14:val="tx1"/>
            </w14:solidFill>
          </w14:textFill>
        </w:rPr>
      </w:pPr>
      <w:r>
        <w:rPr>
          <w:rFonts w:ascii="仿宋_GB2312" w:hAnsi="仿宋" w:eastAsia="仿宋_GB2312"/>
          <w:bCs/>
          <w:color w:val="000000" w:themeColor="text1"/>
          <w:sz w:val="32"/>
          <w:szCs w:val="32"/>
          <w14:textFill>
            <w14:solidFill>
              <w14:schemeClr w14:val="tx1"/>
            </w14:solidFill>
          </w14:textFill>
        </w:rPr>
        <w:t>具有省或自治区级人力资源和社会保障部门颁发的软件工程或计算机相关专业中级或以上职称证书</w:t>
      </w:r>
      <w:r>
        <w:rPr>
          <w:rFonts w:hint="eastAsia" w:ascii="仿宋_GB2312" w:hAnsi="仿宋" w:eastAsia="仿宋_GB2312"/>
          <w:bCs/>
          <w:color w:val="000000" w:themeColor="text1"/>
          <w:sz w:val="32"/>
          <w:szCs w:val="32"/>
          <w14:textFill>
            <w14:solidFill>
              <w14:schemeClr w14:val="tx1"/>
            </w14:solidFill>
          </w14:textFill>
        </w:rPr>
        <w:t>，得3分。</w:t>
      </w:r>
    </w:p>
    <w:p>
      <w:pPr>
        <w:numPr>
          <w:ilvl w:val="0"/>
          <w:numId w:val="1"/>
        </w:numPr>
        <w:spacing w:line="560" w:lineRule="exact"/>
        <w:ind w:firstLine="640" w:firstLineChars="200"/>
        <w:jc w:val="left"/>
        <w:rPr>
          <w:rFonts w:hint="eastAsia" w:ascii="仿宋_GB2312" w:hAnsi="仿宋" w:eastAsia="仿宋_GB2312"/>
          <w:bCs/>
          <w:color w:val="000000" w:themeColor="text1"/>
          <w:sz w:val="32"/>
          <w:szCs w:val="32"/>
          <w14:textFill>
            <w14:solidFill>
              <w14:schemeClr w14:val="tx1"/>
            </w14:solidFill>
          </w14:textFill>
        </w:rPr>
      </w:pPr>
      <w:r>
        <w:rPr>
          <w:rFonts w:hint="eastAsia" w:ascii="仿宋_GB2312" w:hAnsi="仿宋" w:eastAsia="仿宋_GB2312"/>
          <w:bCs/>
          <w:color w:val="000000" w:themeColor="text1"/>
          <w:sz w:val="32"/>
          <w:szCs w:val="32"/>
          <w14:textFill>
            <w14:solidFill>
              <w14:schemeClr w14:val="tx1"/>
            </w14:solidFill>
          </w14:textFill>
        </w:rPr>
        <w:t>质量负责人1名（满分6分）</w:t>
      </w:r>
    </w:p>
    <w:p>
      <w:pPr>
        <w:numPr>
          <w:ilvl w:val="0"/>
          <w:numId w:val="3"/>
        </w:numPr>
        <w:spacing w:line="560" w:lineRule="exact"/>
        <w:ind w:firstLine="640" w:firstLineChars="200"/>
        <w:jc w:val="left"/>
        <w:rPr>
          <w:rFonts w:hint="eastAsia" w:ascii="仿宋_GB2312" w:hAnsi="仿宋" w:eastAsia="仿宋_GB2312"/>
          <w:bCs/>
          <w:color w:val="000000" w:themeColor="text1"/>
          <w:sz w:val="32"/>
          <w:szCs w:val="32"/>
          <w14:textFill>
            <w14:solidFill>
              <w14:schemeClr w14:val="tx1"/>
            </w14:solidFill>
          </w14:textFill>
        </w:rPr>
      </w:pPr>
      <w:r>
        <w:rPr>
          <w:rFonts w:hint="eastAsia" w:ascii="仿宋_GB2312" w:hAnsi="仿宋" w:eastAsia="仿宋_GB2312"/>
          <w:bCs/>
          <w:color w:val="000000" w:themeColor="text1"/>
          <w:sz w:val="32"/>
          <w:szCs w:val="32"/>
          <w14:textFill>
            <w14:solidFill>
              <w14:schemeClr w14:val="tx1"/>
            </w14:solidFill>
          </w14:textFill>
        </w:rPr>
        <w:t>具有省或自治区级人力资源和社会保障部门颁发的软件工程或计算机相关专业中级或以上职称证书，得3分；</w:t>
      </w:r>
    </w:p>
    <w:p>
      <w:pPr>
        <w:numPr>
          <w:ilvl w:val="0"/>
          <w:numId w:val="3"/>
        </w:numPr>
        <w:spacing w:line="560" w:lineRule="exact"/>
        <w:ind w:firstLine="640" w:firstLineChars="200"/>
        <w:jc w:val="left"/>
        <w:rPr>
          <w:rFonts w:hint="eastAsia" w:ascii="仿宋_GB2312" w:hAnsi="仿宋" w:eastAsia="仿宋_GB2312"/>
          <w:bCs/>
          <w:color w:val="000000" w:themeColor="text1"/>
          <w:sz w:val="32"/>
          <w:szCs w:val="32"/>
          <w14:textFill>
            <w14:solidFill>
              <w14:schemeClr w14:val="tx1"/>
            </w14:solidFill>
          </w14:textFill>
        </w:rPr>
      </w:pPr>
      <w:r>
        <w:rPr>
          <w:rFonts w:hint="eastAsia" w:ascii="仿宋_GB2312" w:hAnsi="仿宋" w:eastAsia="仿宋_GB2312"/>
          <w:bCs/>
          <w:color w:val="000000" w:themeColor="text1"/>
          <w:sz w:val="32"/>
          <w:szCs w:val="32"/>
          <w14:textFill>
            <w14:solidFill>
              <w14:schemeClr w14:val="tx1"/>
            </w14:solidFill>
          </w14:textFill>
        </w:rPr>
        <w:t>工业和信息化部教育与考试中心颁发的软件质量检验师，得3分。</w:t>
      </w:r>
    </w:p>
    <w:p>
      <w:pPr>
        <w:numPr>
          <w:ilvl w:val="0"/>
          <w:numId w:val="1"/>
        </w:numPr>
        <w:spacing w:line="560" w:lineRule="exact"/>
        <w:ind w:firstLine="640" w:firstLineChars="200"/>
        <w:jc w:val="left"/>
        <w:rPr>
          <w:rFonts w:hint="eastAsia" w:ascii="仿宋_GB2312" w:hAnsi="仿宋" w:eastAsia="仿宋_GB2312"/>
          <w:bCs/>
          <w:color w:val="000000" w:themeColor="text1"/>
          <w:sz w:val="32"/>
          <w:szCs w:val="32"/>
          <w14:textFill>
            <w14:solidFill>
              <w14:schemeClr w14:val="tx1"/>
            </w14:solidFill>
          </w14:textFill>
        </w:rPr>
      </w:pPr>
      <w:r>
        <w:rPr>
          <w:rFonts w:hint="eastAsia" w:ascii="仿宋_GB2312" w:hAnsi="仿宋" w:eastAsia="仿宋_GB2312"/>
          <w:bCs/>
          <w:color w:val="000000" w:themeColor="text1"/>
          <w:sz w:val="32"/>
          <w:szCs w:val="32"/>
          <w14:textFill>
            <w14:solidFill>
              <w14:schemeClr w14:val="tx1"/>
            </w14:solidFill>
          </w14:textFill>
        </w:rPr>
        <w:t>项目团队（满分6分）</w:t>
      </w:r>
    </w:p>
    <w:p>
      <w:pPr>
        <w:spacing w:line="560" w:lineRule="exact"/>
        <w:ind w:firstLine="640" w:firstLineChars="200"/>
        <w:jc w:val="left"/>
        <w:rPr>
          <w:rFonts w:hint="eastAsia" w:ascii="仿宋_GB2312" w:hAnsi="仿宋" w:eastAsia="仿宋_GB2312"/>
          <w:bCs/>
          <w:color w:val="000000" w:themeColor="text1"/>
          <w:sz w:val="32"/>
          <w:szCs w:val="32"/>
          <w14:textFill>
            <w14:solidFill>
              <w14:schemeClr w14:val="tx1"/>
            </w14:solidFill>
          </w14:textFill>
        </w:rPr>
      </w:pPr>
      <w:r>
        <w:rPr>
          <w:rFonts w:hint="eastAsia" w:ascii="仿宋_GB2312" w:hAnsi="仿宋" w:eastAsia="仿宋_GB2312"/>
          <w:bCs/>
          <w:color w:val="000000" w:themeColor="text1"/>
          <w:sz w:val="32"/>
          <w:szCs w:val="32"/>
          <w14:textFill>
            <w14:solidFill>
              <w14:schemeClr w14:val="tx1"/>
            </w14:solidFill>
          </w14:textFill>
        </w:rPr>
        <w:t>项目团队成员2人（不含项目管理团队：项目负责人、技术负责人和质量负责人），需具有计算机技术与软件专业技术资格证书-软件评测师（软考中级）。每人每证得3分，本项满分6分。</w:t>
      </w:r>
    </w:p>
    <w:p>
      <w:pPr>
        <w:spacing w:line="560" w:lineRule="exact"/>
        <w:ind w:firstLine="640" w:firstLineChars="200"/>
        <w:jc w:val="left"/>
        <w:rPr>
          <w:rFonts w:hint="eastAsia" w:ascii="仿宋_GB2312" w:hAnsi="仿宋" w:eastAsia="仿宋_GB2312"/>
          <w:bCs/>
          <w:color w:val="000000" w:themeColor="text1"/>
          <w:sz w:val="32"/>
          <w:szCs w:val="32"/>
          <w14:textFill>
            <w14:solidFill>
              <w14:schemeClr w14:val="tx1"/>
            </w14:solidFill>
          </w14:textFill>
        </w:rPr>
      </w:pPr>
      <w:r>
        <w:rPr>
          <w:rFonts w:hint="eastAsia" w:ascii="仿宋_GB2312" w:hAnsi="仿宋" w:eastAsia="仿宋_GB2312"/>
          <w:bCs/>
          <w:color w:val="000000" w:themeColor="text1"/>
          <w:sz w:val="32"/>
          <w:szCs w:val="32"/>
          <w14:textFill>
            <w14:solidFill>
              <w14:schemeClr w14:val="tx1"/>
            </w14:solidFill>
          </w14:textFill>
        </w:rPr>
        <w:t>注：以上成员须提供资格证书复印件并加盖供应商公章，原件备查;并提供截标前近半年内连续3个月为其缴纳社保证明复印件并加盖供应商公章。</w:t>
      </w:r>
    </w:p>
    <w:p>
      <w:pPr>
        <w:spacing w:line="560" w:lineRule="exact"/>
        <w:ind w:firstLine="643" w:firstLineChars="200"/>
        <w:jc w:val="left"/>
        <w:rPr>
          <w:rFonts w:hint="eastAsia" w:ascii="仿宋_GB2312" w:hAnsi="仿宋" w:eastAsia="仿宋_GB2312"/>
          <w:b/>
          <w:color w:val="000000" w:themeColor="text1"/>
          <w:sz w:val="32"/>
          <w:szCs w:val="32"/>
          <w14:textFill>
            <w14:solidFill>
              <w14:schemeClr w14:val="tx1"/>
            </w14:solidFill>
          </w14:textFill>
        </w:rPr>
      </w:pPr>
      <w:r>
        <w:rPr>
          <w:rFonts w:hint="eastAsia" w:ascii="仿宋_GB2312" w:hAnsi="仿宋" w:eastAsia="仿宋_GB2312"/>
          <w:b/>
          <w:color w:val="000000" w:themeColor="text1"/>
          <w:sz w:val="32"/>
          <w:szCs w:val="32"/>
          <w14:textFill>
            <w14:solidFill>
              <w14:schemeClr w14:val="tx1"/>
            </w14:solidFill>
          </w14:textFill>
        </w:rPr>
        <w:t>4.信誉分（6分</w:t>
      </w:r>
      <w:bookmarkEnd w:id="0"/>
      <w:r>
        <w:rPr>
          <w:rFonts w:hint="eastAsia" w:ascii="仿宋_GB2312" w:hAnsi="仿宋" w:eastAsia="仿宋_GB2312"/>
          <w:b/>
          <w:color w:val="000000" w:themeColor="text1"/>
          <w:sz w:val="32"/>
          <w:szCs w:val="32"/>
          <w14:textFill>
            <w14:solidFill>
              <w14:schemeClr w14:val="tx1"/>
            </w14:solidFill>
          </w14:textFill>
        </w:rPr>
        <w:t>）</w:t>
      </w:r>
    </w:p>
    <w:p>
      <w:pPr>
        <w:spacing w:line="560" w:lineRule="exact"/>
        <w:ind w:firstLine="640" w:firstLineChars="200"/>
        <w:jc w:val="left"/>
        <w:rPr>
          <w:rFonts w:hint="eastAsia" w:ascii="仿宋_GB2312" w:hAnsi="仿宋" w:eastAsia="仿宋_GB2312"/>
          <w:bCs/>
          <w:color w:val="000000" w:themeColor="text1"/>
          <w:sz w:val="32"/>
          <w:szCs w:val="32"/>
          <w14:textFill>
            <w14:solidFill>
              <w14:schemeClr w14:val="tx1"/>
            </w14:solidFill>
          </w14:textFill>
        </w:rPr>
      </w:pPr>
      <w:r>
        <w:rPr>
          <w:rFonts w:hint="eastAsia" w:ascii="仿宋_GB2312" w:hAnsi="仿宋" w:eastAsia="仿宋_GB2312"/>
          <w:bCs/>
          <w:color w:val="000000" w:themeColor="text1"/>
          <w:sz w:val="32"/>
          <w:szCs w:val="32"/>
          <w14:textFill>
            <w14:solidFill>
              <w14:schemeClr w14:val="tx1"/>
            </w14:solidFill>
          </w14:textFill>
        </w:rPr>
        <w:t>（1）供应商具有：</w:t>
      </w:r>
    </w:p>
    <w:p>
      <w:pPr>
        <w:spacing w:line="560" w:lineRule="exact"/>
        <w:ind w:firstLine="640" w:firstLineChars="200"/>
        <w:jc w:val="left"/>
        <w:rPr>
          <w:rFonts w:hint="eastAsia" w:ascii="仿宋_GB2312" w:hAnsi="仿宋" w:eastAsia="仿宋_GB2312"/>
          <w:bCs/>
          <w:color w:val="000000" w:themeColor="text1"/>
          <w:sz w:val="32"/>
          <w:szCs w:val="32"/>
          <w14:textFill>
            <w14:solidFill>
              <w14:schemeClr w14:val="tx1"/>
            </w14:solidFill>
          </w14:textFill>
        </w:rPr>
      </w:pPr>
      <w:r>
        <w:rPr>
          <w:rFonts w:hint="eastAsia" w:ascii="仿宋_GB2312" w:hAnsi="仿宋" w:eastAsia="仿宋_GB2312"/>
          <w:bCs/>
          <w:color w:val="000000" w:themeColor="text1"/>
          <w:sz w:val="32"/>
          <w:szCs w:val="32"/>
          <w14:textFill>
            <w14:solidFill>
              <w14:schemeClr w14:val="tx1"/>
            </w14:solidFill>
          </w14:textFill>
        </w:rPr>
        <w:t>1）中国网络安全审查认证和市场监管大数据中心颁发的信息安全风险评估服务资质，得2分；</w:t>
      </w:r>
    </w:p>
    <w:p>
      <w:pPr>
        <w:spacing w:line="560" w:lineRule="exact"/>
        <w:ind w:firstLine="640" w:firstLineChars="200"/>
        <w:jc w:val="left"/>
        <w:rPr>
          <w:rFonts w:hint="eastAsia" w:ascii="仿宋_GB2312" w:hAnsi="仿宋" w:eastAsia="仿宋_GB2312"/>
          <w:bCs/>
          <w:color w:val="000000" w:themeColor="text1"/>
          <w:sz w:val="32"/>
          <w:szCs w:val="32"/>
          <w14:textFill>
            <w14:solidFill>
              <w14:schemeClr w14:val="tx1"/>
            </w14:solidFill>
          </w14:textFill>
        </w:rPr>
      </w:pPr>
      <w:r>
        <w:rPr>
          <w:rFonts w:hint="eastAsia" w:ascii="仿宋_GB2312" w:hAnsi="仿宋" w:eastAsia="仿宋_GB2312"/>
          <w:bCs/>
          <w:color w:val="000000" w:themeColor="text1"/>
          <w:sz w:val="32"/>
          <w:szCs w:val="32"/>
          <w14:textFill>
            <w14:solidFill>
              <w14:schemeClr w14:val="tx1"/>
            </w14:solidFill>
          </w14:textFill>
        </w:rPr>
        <w:t>2）中国合格评定国家认可委员会实验室认可证书（CNAS），得2分；</w:t>
      </w:r>
    </w:p>
    <w:p>
      <w:pPr>
        <w:spacing w:line="560" w:lineRule="exact"/>
        <w:ind w:firstLine="640" w:firstLineChars="200"/>
        <w:jc w:val="left"/>
        <w:rPr>
          <w:rFonts w:hint="eastAsia" w:ascii="仿宋_GB2312" w:hAnsi="仿宋" w:eastAsia="仿宋_GB2312"/>
          <w:bCs/>
          <w:color w:val="000000" w:themeColor="text1"/>
          <w:sz w:val="32"/>
          <w:szCs w:val="32"/>
          <w14:textFill>
            <w14:solidFill>
              <w14:schemeClr w14:val="tx1"/>
            </w14:solidFill>
          </w14:textFill>
        </w:rPr>
      </w:pPr>
      <w:r>
        <w:rPr>
          <w:rFonts w:hint="eastAsia" w:ascii="仿宋_GB2312" w:hAnsi="仿宋" w:eastAsia="仿宋_GB2312"/>
          <w:bCs/>
          <w:color w:val="000000" w:themeColor="text1"/>
          <w:sz w:val="32"/>
          <w:szCs w:val="32"/>
          <w14:textFill>
            <w14:solidFill>
              <w14:schemeClr w14:val="tx1"/>
            </w14:solidFill>
          </w14:textFill>
        </w:rPr>
        <w:t>3）信息安全管理体系认证证书、质量管理体系认证证书、环境管理体系认证证书、职业健康安全管理体系认证证书，每提供一证得0.5分，满分2分。</w:t>
      </w:r>
      <w:bookmarkStart w:id="2" w:name="_GoBack"/>
      <w:bookmarkEnd w:id="2"/>
    </w:p>
    <w:p>
      <w:pPr>
        <w:spacing w:line="560" w:lineRule="exact"/>
        <w:ind w:firstLine="640" w:firstLineChars="200"/>
        <w:jc w:val="left"/>
        <w:rPr>
          <w:rFonts w:hint="eastAsia" w:ascii="仿宋_GB2312" w:hAnsi="仿宋" w:eastAsia="仿宋_GB2312"/>
          <w:bCs/>
          <w:color w:val="000000" w:themeColor="text1"/>
          <w:sz w:val="32"/>
          <w:szCs w:val="32"/>
          <w14:textFill>
            <w14:solidFill>
              <w14:schemeClr w14:val="tx1"/>
            </w14:solidFill>
          </w14:textFill>
        </w:rPr>
      </w:pPr>
      <w:r>
        <w:rPr>
          <w:rFonts w:hint="eastAsia" w:ascii="仿宋_GB2312" w:hAnsi="仿宋" w:eastAsia="仿宋_GB2312"/>
          <w:bCs/>
          <w:color w:val="000000" w:themeColor="text1"/>
          <w:sz w:val="32"/>
          <w:szCs w:val="32"/>
          <w14:textFill>
            <w14:solidFill>
              <w14:schemeClr w14:val="tx1"/>
            </w14:solidFill>
          </w14:textFill>
        </w:rPr>
        <w:t>本项满分6分。（投标响应文件中提供证书复印件）</w:t>
      </w:r>
    </w:p>
    <w:p>
      <w:pPr>
        <w:spacing w:line="560" w:lineRule="exact"/>
        <w:ind w:firstLine="643" w:firstLineChars="200"/>
        <w:jc w:val="left"/>
        <w:rPr>
          <w:rFonts w:hint="eastAsia" w:ascii="仿宋_GB2312" w:hAnsi="仿宋" w:eastAsia="仿宋_GB2312"/>
          <w:bCs/>
          <w:color w:val="000000" w:themeColor="text1"/>
          <w:sz w:val="32"/>
          <w:szCs w:val="32"/>
          <w14:textFill>
            <w14:solidFill>
              <w14:schemeClr w14:val="tx1"/>
            </w14:solidFill>
          </w14:textFill>
        </w:rPr>
      </w:pPr>
      <w:r>
        <w:rPr>
          <w:rFonts w:hint="eastAsia" w:ascii="仿宋_GB2312" w:hAnsi="仿宋" w:eastAsia="仿宋_GB2312"/>
          <w:b/>
          <w:color w:val="000000" w:themeColor="text1"/>
          <w:sz w:val="32"/>
          <w:szCs w:val="32"/>
          <w14:textFill>
            <w14:solidFill>
              <w14:schemeClr w14:val="tx1"/>
            </w14:solidFill>
          </w14:textFill>
        </w:rPr>
        <w:t>5.业绩分（10分）</w:t>
      </w:r>
    </w:p>
    <w:p>
      <w:pPr>
        <w:spacing w:line="560" w:lineRule="exact"/>
        <w:ind w:firstLine="640" w:firstLineChars="200"/>
        <w:jc w:val="left"/>
        <w:rPr>
          <w:rFonts w:hint="eastAsia" w:ascii="仿宋_GB2312" w:hAnsi="仿宋" w:eastAsia="仿宋_GB2312"/>
          <w:bCs/>
          <w:color w:val="000000" w:themeColor="text1"/>
          <w:sz w:val="32"/>
          <w:szCs w:val="32"/>
          <w14:textFill>
            <w14:solidFill>
              <w14:schemeClr w14:val="tx1"/>
            </w14:solidFill>
          </w14:textFill>
        </w:rPr>
      </w:pPr>
      <w:r>
        <w:rPr>
          <w:rFonts w:hint="eastAsia" w:ascii="仿宋_GB2312" w:hAnsi="仿宋" w:eastAsia="仿宋_GB2312"/>
          <w:bCs/>
          <w:color w:val="000000" w:themeColor="text1"/>
          <w:sz w:val="32"/>
          <w:szCs w:val="32"/>
          <w14:textFill>
            <w14:solidFill>
              <w14:schemeClr w14:val="tx1"/>
            </w14:solidFill>
          </w14:textFill>
        </w:rPr>
        <w:t>供应商自2024年以来，签约并承担有第三方软件测试类似业绩，每个业绩得1分，满分10分。以合同签约或成交通知书时间及项目个数计，请提供合同或成交通知书复印件并加盖公章。</w:t>
      </w:r>
    </w:p>
    <w:p>
      <w:pPr>
        <w:spacing w:line="560" w:lineRule="exact"/>
        <w:ind w:firstLine="640" w:firstLineChars="200"/>
        <w:jc w:val="left"/>
        <w:rPr>
          <w:rFonts w:hint="eastAsia" w:ascii="仿宋_GB2312" w:hAnsi="仿宋" w:eastAsia="仿宋_GB2312"/>
          <w:bCs/>
          <w:color w:val="000000" w:themeColor="text1"/>
          <w:sz w:val="32"/>
          <w:szCs w:val="32"/>
          <w14:textFill>
            <w14:solidFill>
              <w14:schemeClr w14:val="tx1"/>
            </w14:solidFill>
          </w14:textFill>
        </w:rPr>
      </w:pPr>
      <w:r>
        <w:rPr>
          <w:rFonts w:hint="eastAsia" w:ascii="仿宋_GB2312" w:hAnsi="仿宋" w:eastAsia="仿宋_GB2312"/>
          <w:bCs/>
          <w:color w:val="000000" w:themeColor="text1"/>
          <w:sz w:val="32"/>
          <w:szCs w:val="32"/>
          <w14:textFill>
            <w14:solidFill>
              <w14:schemeClr w14:val="tx1"/>
            </w14:solidFill>
          </w14:textFill>
        </w:rPr>
        <w:t>注：业绩证明材料须包括合同首页、签章页、金额页、能体现合同标的物在内的合同关键页扫描件</w:t>
      </w:r>
    </w:p>
    <w:p>
      <w:pPr>
        <w:spacing w:line="560" w:lineRule="exact"/>
        <w:ind w:firstLine="643" w:firstLineChars="200"/>
        <w:jc w:val="left"/>
        <w:rPr>
          <w:rFonts w:hint="eastAsia" w:ascii="仿宋_GB2312" w:hAnsi="仿宋" w:eastAsia="仿宋_GB2312"/>
          <w:b/>
          <w:color w:val="000000" w:themeColor="text1"/>
          <w:sz w:val="32"/>
          <w:szCs w:val="32"/>
          <w14:textFill>
            <w14:solidFill>
              <w14:schemeClr w14:val="tx1"/>
            </w14:solidFill>
          </w14:textFill>
        </w:rPr>
      </w:pPr>
      <w:bookmarkStart w:id="1" w:name="_Toc19790"/>
      <w:r>
        <w:rPr>
          <w:rFonts w:hint="eastAsia" w:ascii="仿宋_GB2312" w:hAnsi="仿宋" w:eastAsia="仿宋_GB2312"/>
          <w:b/>
          <w:color w:val="000000" w:themeColor="text1"/>
          <w:sz w:val="32"/>
          <w:szCs w:val="32"/>
          <w14:textFill>
            <w14:solidFill>
              <w14:schemeClr w14:val="tx1"/>
            </w14:solidFill>
          </w14:textFill>
        </w:rPr>
        <w:t>6.总得分=1+2+3+4+5。</w:t>
      </w:r>
      <w:bookmarkEnd w:id="1"/>
    </w:p>
    <w:p>
      <w:pPr>
        <w:rPr>
          <w:color w:val="000000" w:themeColor="text1"/>
          <w14:textFill>
            <w14:solidFill>
              <w14:schemeClr w14:val="tx1"/>
            </w14:solidFill>
          </w14:textFill>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373E0EA-2AEF-4429-88E3-C4D2A079332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B24A5D94-42BA-486E-8DCC-86ADB5EDDB55}"/>
  </w:font>
  <w:font w:name="仿宋_GB2312">
    <w:panose1 w:val="02010609030101010101"/>
    <w:charset w:val="86"/>
    <w:family w:val="modern"/>
    <w:pitch w:val="default"/>
    <w:sig w:usb0="00000001" w:usb1="080E0000" w:usb2="00000000" w:usb3="00000000" w:csb0="00040000" w:csb1="00000000"/>
    <w:embedRegular r:id="rId3" w:fontKey="{F8FAE17B-EDC3-4AB1-97E5-4A2A25922D8B}"/>
  </w:font>
  <w:font w:name="方正小标宋简体">
    <w:altName w:val="方正舒体"/>
    <w:panose1 w:val="00000000000000000000"/>
    <w:charset w:val="86"/>
    <w:family w:val="auto"/>
    <w:pitch w:val="default"/>
    <w:sig w:usb0="00000000" w:usb1="00000000" w:usb2="00000000" w:usb3="00000000" w:csb0="00040000" w:csb1="00000000"/>
    <w:embedRegular r:id="rId4" w:fontKey="{76167AD0-1BE7-4B08-9A67-655087869BCE}"/>
  </w:font>
  <w:font w:name="仿宋">
    <w:panose1 w:val="02010609060101010101"/>
    <w:charset w:val="86"/>
    <w:family w:val="modern"/>
    <w:pitch w:val="default"/>
    <w:sig w:usb0="800002BF" w:usb1="38CF7CFA" w:usb2="00000016" w:usb3="00000000" w:csb0="00040001" w:csb1="00000000"/>
    <w:embedRegular r:id="rId5" w:fontKey="{20C6D71F-4C3F-412D-8634-CFC19E237BC1}"/>
  </w:font>
  <w:font w:name="方正舒体">
    <w:panose1 w:val="02010601030101010101"/>
    <w:charset w:val="86"/>
    <w:family w:val="auto"/>
    <w:pitch w:val="default"/>
    <w:sig w:usb0="00000003"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FFF6547"/>
    <w:multiLevelType w:val="singleLevel"/>
    <w:tmpl w:val="9FFF6547"/>
    <w:lvl w:ilvl="0" w:tentative="0">
      <w:start w:val="2"/>
      <w:numFmt w:val="decimal"/>
      <w:suff w:val="nothing"/>
      <w:lvlText w:val="（%1）"/>
      <w:lvlJc w:val="left"/>
    </w:lvl>
  </w:abstractNum>
  <w:abstractNum w:abstractNumId="1">
    <w:nsid w:val="5AD02CB8"/>
    <w:multiLevelType w:val="singleLevel"/>
    <w:tmpl w:val="5AD02CB8"/>
    <w:lvl w:ilvl="0" w:tentative="0">
      <w:start w:val="1"/>
      <w:numFmt w:val="decimal"/>
      <w:suff w:val="nothing"/>
      <w:lvlText w:val="%1、"/>
      <w:lvlJc w:val="left"/>
    </w:lvl>
  </w:abstractNum>
  <w:abstractNum w:abstractNumId="2">
    <w:nsid w:val="62D1198D"/>
    <w:multiLevelType w:val="singleLevel"/>
    <w:tmpl w:val="62D1198D"/>
    <w:lvl w:ilvl="0" w:tentative="0">
      <w:start w:val="1"/>
      <w:numFmt w:val="decimal"/>
      <w:suff w:val="nothing"/>
      <w:lvlText w:val="%1、"/>
      <w:lvlJc w:val="left"/>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U4NTNkZWY5NjgzNTIyMDRiODk0ZTdjOTdiMTA0OTIifQ=="/>
  </w:docVars>
  <w:rsids>
    <w:rsidRoot w:val="FFEB6825"/>
    <w:rsid w:val="0009264B"/>
    <w:rsid w:val="001E6953"/>
    <w:rsid w:val="00263A96"/>
    <w:rsid w:val="002B3DF3"/>
    <w:rsid w:val="003B6931"/>
    <w:rsid w:val="00602771"/>
    <w:rsid w:val="00665DE6"/>
    <w:rsid w:val="007C5B01"/>
    <w:rsid w:val="00915861"/>
    <w:rsid w:val="009A1FC7"/>
    <w:rsid w:val="009E78D6"/>
    <w:rsid w:val="00A37D78"/>
    <w:rsid w:val="00C5674C"/>
    <w:rsid w:val="00D2487F"/>
    <w:rsid w:val="00E5606D"/>
    <w:rsid w:val="00E57C3F"/>
    <w:rsid w:val="02FB650A"/>
    <w:rsid w:val="08C65B19"/>
    <w:rsid w:val="0E28454F"/>
    <w:rsid w:val="14693C36"/>
    <w:rsid w:val="1ABF1D52"/>
    <w:rsid w:val="29706CAE"/>
    <w:rsid w:val="31710F03"/>
    <w:rsid w:val="3447649D"/>
    <w:rsid w:val="4A39002E"/>
    <w:rsid w:val="4E260509"/>
    <w:rsid w:val="6BFE04D1"/>
    <w:rsid w:val="755A35D0"/>
    <w:rsid w:val="7A8D350F"/>
    <w:rsid w:val="7FDFEE27"/>
    <w:rsid w:val="FFEB68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qFormat/>
    <w:uiPriority w:val="0"/>
    <w:pPr>
      <w:tabs>
        <w:tab w:val="center" w:pos="4153"/>
        <w:tab w:val="right" w:pos="8306"/>
      </w:tabs>
      <w:snapToGrid w:val="0"/>
      <w:jc w:val="left"/>
    </w:pPr>
    <w:rPr>
      <w:sz w:val="18"/>
      <w:szCs w:val="18"/>
    </w:rPr>
  </w:style>
  <w:style w:type="paragraph" w:styleId="3">
    <w:name w:val="header"/>
    <w:basedOn w:val="1"/>
    <w:link w:val="6"/>
    <w:qFormat/>
    <w:uiPriority w:val="0"/>
    <w:pPr>
      <w:tabs>
        <w:tab w:val="center" w:pos="4153"/>
        <w:tab w:val="right" w:pos="8306"/>
      </w:tabs>
      <w:snapToGrid w:val="0"/>
      <w:jc w:val="center"/>
    </w:pPr>
    <w:rPr>
      <w:sz w:val="18"/>
      <w:szCs w:val="18"/>
    </w:rPr>
  </w:style>
  <w:style w:type="character" w:customStyle="1" w:styleId="6">
    <w:name w:val="页眉 字符"/>
    <w:basedOn w:val="5"/>
    <w:link w:val="3"/>
    <w:qFormat/>
    <w:uiPriority w:val="0"/>
    <w:rPr>
      <w:rFonts w:ascii="Calibri" w:hAnsi="Calibri" w:eastAsia="宋体" w:cs="Times New Roman"/>
      <w:kern w:val="2"/>
      <w:sz w:val="18"/>
      <w:szCs w:val="18"/>
    </w:rPr>
  </w:style>
  <w:style w:type="character" w:customStyle="1" w:styleId="7">
    <w:name w:val="页脚 字符"/>
    <w:basedOn w:val="5"/>
    <w:link w:val="2"/>
    <w:qFormat/>
    <w:uiPriority w:val="0"/>
    <w:rPr>
      <w:rFonts w:ascii="Calibri" w:hAnsi="Calibri" w:eastAsia="宋体" w:cs="Times New Roman"/>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1643</Words>
  <Characters>1680</Characters>
  <Lines>12</Lines>
  <Paragraphs>3</Paragraphs>
  <TotalTime>81</TotalTime>
  <ScaleCrop>false</ScaleCrop>
  <LinksUpToDate>false</LinksUpToDate>
  <CharactersWithSpaces>1682</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2026-07-17T11:35:00Z</dcterms:created>
  <dc:creator>azzzzz</dc:creator>
  <cp:lastModifiedBy>叁石</cp:lastModifiedBy>
  <dcterms:modified xsi:type="dcterms:W3CDTF">2026-07-28T03:02:47Z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46BC97B71D3145FD91655059D71C4017_13</vt:lpwstr>
  </property>
  <property fmtid="{D5CDD505-2E9C-101B-9397-08002B2CF9AE}" pid="4" name="KSOTemplateDocerSaveRecord">
    <vt:lpwstr>eyJoZGlkIjoiOGYxOGVhMzFhYjQ4NmJmNTc4MDFmNWZmODdmZDM3NDQiLCJ1c2VySWQiOiI2NDU1ODEyOTcifQ==</vt:lpwstr>
  </property>
</Properties>
</file>