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仿宋_GB2312" w:cs="Times New Roman"/>
          <w:sz w:val="32"/>
          <w:szCs w:val="32"/>
        </w:rPr>
      </w:pPr>
      <w:bookmarkStart w:id="0" w:name="_GoBack"/>
      <w:bookmarkEnd w:id="0"/>
      <w:r>
        <w:rPr>
          <w:rFonts w:hint="eastAsia" w:ascii="Times New Roman" w:hAnsi="Times New Roman" w:eastAsia="仿宋_GB2312" w:cs="Times New Roman"/>
          <w:sz w:val="32"/>
          <w:szCs w:val="32"/>
        </w:rPr>
        <w:t>附件1</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采购需求</w:t>
      </w:r>
    </w:p>
    <w:p>
      <w:pPr>
        <w:spacing w:line="600" w:lineRule="exact"/>
        <w:jc w:val="left"/>
        <w:rPr>
          <w:rFonts w:hint="eastAsia" w:ascii="仿宋_GB2312" w:hAnsi="仿宋_GB2312" w:eastAsia="仿宋_GB2312" w:cs="仿宋_GB2312"/>
          <w:sz w:val="32"/>
          <w:szCs w:val="32"/>
        </w:rPr>
      </w:pPr>
    </w:p>
    <w:p>
      <w:pPr>
        <w:spacing w:line="440" w:lineRule="exact"/>
        <w:ind w:firstLine="643" w:firstLineChars="200"/>
        <w:jc w:val="left"/>
        <w:rPr>
          <w:rFonts w:hint="eastAsia" w:ascii="仿宋_GB2312" w:hAnsi="仿宋" w:eastAsia="仿宋_GB2312"/>
          <w:b/>
          <w:sz w:val="32"/>
          <w:szCs w:val="32"/>
        </w:rPr>
      </w:pPr>
      <w:r>
        <w:rPr>
          <w:rFonts w:hint="eastAsia" w:ascii="仿宋_GB2312" w:hAnsi="仿宋" w:eastAsia="仿宋_GB2312"/>
          <w:b/>
          <w:sz w:val="32"/>
          <w:szCs w:val="32"/>
          <w:lang w:val="en-US" w:eastAsia="zh-CN"/>
        </w:rPr>
        <w:t>一、</w:t>
      </w:r>
      <w:r>
        <w:rPr>
          <w:rFonts w:hint="eastAsia" w:ascii="仿宋_GB2312" w:hAnsi="仿宋" w:eastAsia="仿宋_GB2312"/>
          <w:b/>
          <w:sz w:val="32"/>
          <w:szCs w:val="32"/>
        </w:rPr>
        <w:t>项目概况</w:t>
      </w:r>
    </w:p>
    <w:p>
      <w:pPr>
        <w:spacing w:line="440" w:lineRule="exact"/>
        <w:ind w:left="2159" w:leftChars="266" w:hanging="1600" w:hangingChars="500"/>
        <w:jc w:val="left"/>
        <w:rPr>
          <w:rFonts w:hint="eastAsia" w:ascii="仿宋_GB2312" w:hAnsi="仿宋" w:eastAsia="仿宋_GB2312"/>
          <w:bCs/>
          <w:sz w:val="32"/>
          <w:szCs w:val="32"/>
        </w:rPr>
      </w:pPr>
      <w:r>
        <w:rPr>
          <w:rFonts w:hint="eastAsia" w:ascii="仿宋_GB2312" w:hAnsi="仿宋" w:eastAsia="仿宋_GB2312"/>
          <w:bCs/>
          <w:sz w:val="32"/>
          <w:szCs w:val="32"/>
        </w:rPr>
        <w:t>项目名称：柳州市国家传染病智能监测预警前置软件对接集成服务</w:t>
      </w:r>
    </w:p>
    <w:p>
      <w:pPr>
        <w:spacing w:line="440" w:lineRule="exact"/>
        <w:ind w:firstLine="643" w:firstLineChars="200"/>
        <w:jc w:val="left"/>
        <w:rPr>
          <w:rFonts w:hint="eastAsia" w:ascii="仿宋_GB2312" w:hAnsi="仿宋" w:eastAsia="仿宋_GB2312"/>
          <w:b/>
          <w:sz w:val="32"/>
          <w:szCs w:val="32"/>
          <w:lang w:val="en-US" w:eastAsia="zh-CN"/>
        </w:rPr>
      </w:pPr>
      <w:r>
        <w:rPr>
          <w:rFonts w:hint="eastAsia" w:ascii="仿宋_GB2312" w:hAnsi="仿宋" w:eastAsia="仿宋_GB2312"/>
          <w:b/>
          <w:sz w:val="32"/>
          <w:szCs w:val="32"/>
          <w:lang w:val="en-US" w:eastAsia="zh-CN"/>
        </w:rPr>
        <w:t>二、项目背景</w:t>
      </w:r>
    </w:p>
    <w:p>
      <w:p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为落实自治区卫生健康委、自治区疾控局、自治区中医药局相关工作通知要求，实现全市所有二级以下基层医疗机构国家传染病智能监测预警前置软件全覆盖部署，需开展本项目接口开发、数据适配、系统改造及各医疗机构现场实施工作，全部实施内容均依托市级统一建设的基层医疗卫生信息系统开展。实施期间需打通基层医疗卫生信息系统与市级全民健康信息平台数据通道，统一两套平台的数据标准、编码字典与数据传输校验规则，保障上下层级数据流转顺畅统一。通过完成前置软件与基层医疗卫生信息系统对接改造，搭建标准化数据采集、传输、质控、预警闭环工作体系，保障传染病监测数据真实、准确、完整、及时、安全，实现传染病防控“早发现、早报告、早处置”工作目标。</w:t>
      </w:r>
    </w:p>
    <w:p>
      <w:pPr>
        <w:spacing w:line="440" w:lineRule="exact"/>
        <w:ind w:firstLine="643" w:firstLineChars="200"/>
        <w:jc w:val="left"/>
        <w:rPr>
          <w:rFonts w:hint="default" w:ascii="仿宋_GB2312" w:hAnsi="仿宋" w:eastAsia="仿宋_GB2312"/>
          <w:b/>
          <w:sz w:val="32"/>
          <w:szCs w:val="32"/>
          <w:lang w:val="en-US" w:eastAsia="zh-CN"/>
        </w:rPr>
      </w:pPr>
      <w:r>
        <w:rPr>
          <w:rFonts w:hint="eastAsia" w:ascii="仿宋_GB2312" w:hAnsi="仿宋" w:eastAsia="仿宋_GB2312"/>
          <w:b/>
          <w:sz w:val="32"/>
          <w:szCs w:val="32"/>
          <w:lang w:val="en-US" w:eastAsia="zh-CN"/>
        </w:rPr>
        <w:t>三、服务要求</w:t>
      </w:r>
    </w:p>
    <w:p>
      <w:pPr>
        <w:spacing w:line="44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lang w:val="en-US" w:eastAsia="zh-CN"/>
        </w:rPr>
        <w:t>项目实施须严格按照国家疾病预防控制局、中国疾病预防控制中心2026年3月印发《国家传染病智能监测预警前置软件数据集成和API接口规范》执行，具体服务内容如下：</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严格遵循接口规范，对柳州市基层医疗卫生信息系统进行功能改造，完善基层医疗机构院内业务系统相关字段与校验规则，从数据源头落实信息质控，保障传染病相关数据采集准确规范。</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对照接口规范，完成基层医疗卫生信息系统与国家传染病智能监测预警前置软件全量值域映射、系统参数适配配置。</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完成基层医疗卫生信息系统与前置软件接口开发、对接调试，实现传染病报告卡自动生成、数据校验、信息审核、逐级上报、预警触发、数据采集全流程联调工作。</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按照接口规范要求，实现基层医疗卫生信息系统与国家疾控平台、自治区疾控平台、柳州市全民健康信息平台数据互通共享。</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完成127家基层医疗机构前置软件安装、设备配置、系统初始化、上线调试工作，包含机构信息录入、用户分级权限分配、标准编码字典维护、基础业务数据适配等全部实施内容。</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配合采购人开展项目试点机构试运行、分批次全市推广上线工作。</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提供7×24小时在线值守保障，及时处置系统故障、接口异常、数据传输中断等各类问题。</w:t>
      </w:r>
    </w:p>
    <w:p>
      <w:pPr>
        <w:numPr>
          <w:ilvl w:val="0"/>
          <w:numId w:val="1"/>
        </w:num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lang w:val="en-US" w:eastAsia="zh-CN"/>
        </w:rPr>
        <w:t>落实政务内网物理隔离管理规定，合理配置防火墙安全访问策略，实现业务数据加密传输，保障系统运行与医疗数据传输安全。</w:t>
      </w:r>
    </w:p>
    <w:p>
      <w:pPr>
        <w:numPr>
          <w:ilvl w:val="0"/>
          <w:numId w:val="1"/>
        </w:numPr>
        <w:spacing w:line="440" w:lineRule="exact"/>
        <w:ind w:left="0" w:leftChars="0" w:firstLine="640" w:firstLineChars="200"/>
        <w:jc w:val="left"/>
        <w:rPr>
          <w:rFonts w:hint="default" w:ascii="仿宋_GB2312" w:hAnsi="仿宋" w:eastAsia="仿宋_GB2312"/>
          <w:bCs/>
          <w:sz w:val="32"/>
          <w:szCs w:val="32"/>
          <w:lang w:val="en-US" w:eastAsia="zh-CN"/>
        </w:rPr>
      </w:pPr>
      <w:r>
        <w:rPr>
          <w:rFonts w:hint="eastAsia" w:ascii="仿宋_GB2312" w:hAnsi="仿宋" w:eastAsia="仿宋_GB2312"/>
          <w:bCs/>
          <w:sz w:val="32"/>
          <w:szCs w:val="32"/>
          <w:lang w:val="en-US" w:eastAsia="zh-CN"/>
        </w:rPr>
        <w:t>提供全周期售后保障服务，医疗机构在使用前置软件过程中出现对接、数据、预警类问题，须及时开展远程或现场排查处置，保障系统长期稳定运行。</w:t>
      </w:r>
    </w:p>
    <w:p>
      <w:pPr>
        <w:spacing w:line="440" w:lineRule="exact"/>
        <w:ind w:firstLine="643" w:firstLineChars="200"/>
        <w:jc w:val="left"/>
        <w:rPr>
          <w:rFonts w:hint="eastAsia" w:ascii="仿宋_GB2312" w:hAnsi="仿宋" w:eastAsia="仿宋_GB2312"/>
          <w:b/>
          <w:sz w:val="32"/>
          <w:szCs w:val="32"/>
          <w:lang w:val="en-US" w:eastAsia="zh-CN"/>
        </w:rPr>
      </w:pPr>
      <w:r>
        <w:rPr>
          <w:rFonts w:hint="eastAsia" w:ascii="仿宋_GB2312" w:hAnsi="仿宋" w:eastAsia="仿宋_GB2312"/>
          <w:b/>
          <w:sz w:val="32"/>
          <w:szCs w:val="32"/>
          <w:lang w:val="en-US" w:eastAsia="zh-CN"/>
        </w:rPr>
        <w:t>四</w:t>
      </w:r>
      <w:r>
        <w:rPr>
          <w:rFonts w:hint="eastAsia" w:ascii="仿宋_GB2312" w:hAnsi="仿宋" w:eastAsia="仿宋_GB2312"/>
          <w:b/>
          <w:sz w:val="32"/>
          <w:szCs w:val="32"/>
        </w:rPr>
        <w:t>、成果交付</w:t>
      </w:r>
      <w:r>
        <w:rPr>
          <w:rFonts w:hint="eastAsia" w:ascii="仿宋_GB2312" w:hAnsi="仿宋" w:eastAsia="仿宋_GB2312"/>
          <w:b/>
          <w:sz w:val="32"/>
          <w:szCs w:val="32"/>
          <w:lang w:val="en-US" w:eastAsia="zh-CN"/>
        </w:rPr>
        <w:t>周期</w:t>
      </w:r>
    </w:p>
    <w:p>
      <w:pPr>
        <w:spacing w:line="44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自合同签订之日起</w:t>
      </w:r>
      <w:r>
        <w:rPr>
          <w:rFonts w:hint="eastAsia" w:ascii="仿宋_GB2312" w:hAnsi="仿宋" w:eastAsia="仿宋_GB2312"/>
          <w:bCs/>
          <w:sz w:val="32"/>
          <w:szCs w:val="32"/>
          <w:lang w:eastAsia="zh-CN"/>
        </w:rPr>
        <w:t>，</w:t>
      </w:r>
      <w:r>
        <w:rPr>
          <w:rFonts w:hint="eastAsia" w:ascii="仿宋_GB2312" w:hAnsi="仿宋" w:eastAsia="仿宋_GB2312"/>
          <w:bCs/>
          <w:sz w:val="32"/>
          <w:szCs w:val="32"/>
        </w:rPr>
        <w:t>至项目</w:t>
      </w:r>
      <w:r>
        <w:rPr>
          <w:rFonts w:hint="eastAsia" w:ascii="仿宋_GB2312" w:hAnsi="仿宋" w:eastAsia="仿宋_GB2312"/>
          <w:bCs/>
          <w:sz w:val="32"/>
          <w:szCs w:val="32"/>
          <w:lang w:val="en-US" w:eastAsia="zh-CN"/>
        </w:rPr>
        <w:t>实施完整并</w:t>
      </w:r>
      <w:r>
        <w:rPr>
          <w:rFonts w:hint="eastAsia" w:ascii="仿宋_GB2312" w:hAnsi="仿宋" w:eastAsia="仿宋_GB2312"/>
          <w:bCs/>
          <w:sz w:val="32"/>
          <w:szCs w:val="32"/>
        </w:rPr>
        <w:t>通过验收合格之日止。</w:t>
      </w:r>
    </w:p>
    <w:p>
      <w:pPr>
        <w:spacing w:line="440" w:lineRule="exact"/>
        <w:ind w:firstLine="643" w:firstLineChars="200"/>
        <w:jc w:val="left"/>
        <w:rPr>
          <w:rFonts w:hint="eastAsia" w:ascii="仿宋_GB2312" w:hAnsi="仿宋" w:eastAsia="仿宋_GB2312"/>
          <w:b/>
          <w:sz w:val="32"/>
          <w:szCs w:val="32"/>
        </w:rPr>
      </w:pPr>
      <w:r>
        <w:rPr>
          <w:rFonts w:hint="eastAsia" w:ascii="仿宋_GB2312" w:hAnsi="仿宋" w:eastAsia="仿宋_GB2312"/>
          <w:b/>
          <w:sz w:val="32"/>
          <w:szCs w:val="32"/>
          <w:lang w:val="en-US" w:eastAsia="zh-CN"/>
        </w:rPr>
        <w:t>五</w:t>
      </w:r>
      <w:r>
        <w:rPr>
          <w:rFonts w:hint="eastAsia" w:ascii="仿宋_GB2312" w:hAnsi="仿宋" w:eastAsia="仿宋_GB2312"/>
          <w:b/>
          <w:sz w:val="32"/>
          <w:szCs w:val="32"/>
        </w:rPr>
        <w:t>、成果交付要求</w:t>
      </w:r>
    </w:p>
    <w:p>
      <w:pPr>
        <w:spacing w:line="44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项目完成全部</w:t>
      </w:r>
      <w:r>
        <w:rPr>
          <w:rFonts w:hint="eastAsia" w:ascii="仿宋_GB2312" w:hAnsi="仿宋" w:eastAsia="仿宋_GB2312"/>
          <w:bCs/>
          <w:sz w:val="32"/>
          <w:szCs w:val="32"/>
          <w:lang w:val="en-US" w:eastAsia="zh-CN"/>
        </w:rPr>
        <w:t>服务</w:t>
      </w:r>
      <w:r>
        <w:rPr>
          <w:rFonts w:hint="eastAsia" w:ascii="仿宋_GB2312" w:hAnsi="仿宋" w:eastAsia="仿宋_GB2312"/>
          <w:bCs/>
          <w:sz w:val="32"/>
          <w:szCs w:val="32"/>
        </w:rPr>
        <w:t>内容后，组织专家开展项目验收，全部功能、数据传输、预警上报内容需符合接口标准及要求</w:t>
      </w:r>
      <w:r>
        <w:rPr>
          <w:rFonts w:hint="eastAsia" w:ascii="仿宋_GB2312" w:hAnsi="仿宋" w:eastAsia="仿宋_GB2312"/>
          <w:bCs/>
          <w:sz w:val="32"/>
          <w:szCs w:val="32"/>
          <w:lang w:eastAsia="zh-CN"/>
        </w:rPr>
        <w:t>，</w:t>
      </w:r>
      <w:r>
        <w:rPr>
          <w:rFonts w:hint="eastAsia" w:ascii="仿宋_GB2312" w:hAnsi="仿宋" w:eastAsia="仿宋_GB2312"/>
          <w:bCs/>
          <w:sz w:val="32"/>
          <w:szCs w:val="32"/>
          <w:lang w:val="en-US" w:eastAsia="zh-CN"/>
        </w:rPr>
        <w:t>则</w:t>
      </w:r>
      <w:r>
        <w:rPr>
          <w:rFonts w:hint="eastAsia" w:ascii="仿宋_GB2312" w:hAnsi="仿宋" w:eastAsia="仿宋_GB2312"/>
          <w:bCs/>
          <w:sz w:val="32"/>
          <w:szCs w:val="32"/>
        </w:rPr>
        <w:t>通过专家验收。</w:t>
      </w:r>
    </w:p>
    <w:p>
      <w:pPr>
        <w:spacing w:line="440" w:lineRule="exact"/>
        <w:ind w:firstLine="643" w:firstLineChars="200"/>
        <w:jc w:val="left"/>
        <w:rPr>
          <w:rFonts w:hint="eastAsia" w:ascii="仿宋_GB2312" w:hAnsi="仿宋" w:eastAsia="仿宋_GB2312"/>
          <w:b/>
          <w:sz w:val="32"/>
          <w:szCs w:val="32"/>
        </w:rPr>
      </w:pPr>
      <w:r>
        <w:rPr>
          <w:rFonts w:hint="eastAsia" w:ascii="仿宋_GB2312" w:hAnsi="仿宋" w:eastAsia="仿宋_GB2312"/>
          <w:b/>
          <w:sz w:val="32"/>
          <w:szCs w:val="32"/>
          <w:lang w:val="en-US" w:eastAsia="zh-CN"/>
        </w:rPr>
        <w:t>六</w:t>
      </w:r>
      <w:r>
        <w:rPr>
          <w:rFonts w:hint="eastAsia" w:ascii="仿宋_GB2312" w:hAnsi="仿宋" w:eastAsia="仿宋_GB2312"/>
          <w:b/>
          <w:sz w:val="32"/>
          <w:szCs w:val="32"/>
        </w:rPr>
        <w:t>、成果交付地点</w:t>
      </w:r>
    </w:p>
    <w:p>
      <w:pPr>
        <w:spacing w:line="440" w:lineRule="exact"/>
        <w:ind w:firstLine="640" w:firstLineChars="200"/>
        <w:jc w:val="left"/>
        <w:rPr>
          <w:rFonts w:hint="eastAsia" w:ascii="仿宋_GB2312" w:hAnsi="仿宋" w:eastAsia="仿宋_GB2312"/>
          <w:bCs/>
          <w:sz w:val="32"/>
          <w:szCs w:val="32"/>
          <w:lang w:val="en-US" w:eastAsia="zh-CN"/>
        </w:rPr>
      </w:pPr>
      <w:r>
        <w:rPr>
          <w:rFonts w:hint="eastAsia" w:ascii="仿宋_GB2312" w:hAnsi="仿宋" w:eastAsia="仿宋_GB2312"/>
          <w:bCs/>
          <w:sz w:val="32"/>
          <w:szCs w:val="32"/>
        </w:rPr>
        <w:t>采购人指定地点及全市各相关基层医疗卫生机构。</w:t>
      </w:r>
    </w:p>
    <w:p>
      <w:pPr>
        <w:spacing w:line="440" w:lineRule="exact"/>
        <w:ind w:firstLine="643" w:firstLineChars="200"/>
        <w:jc w:val="left"/>
        <w:rPr>
          <w:rFonts w:hint="eastAsia" w:ascii="仿宋_GB2312" w:hAnsi="仿宋" w:eastAsia="仿宋_GB2312"/>
          <w:b/>
          <w:sz w:val="32"/>
          <w:szCs w:val="32"/>
          <w:lang w:val="en-US" w:eastAsia="zh-CN"/>
        </w:rPr>
      </w:pPr>
      <w:r>
        <w:rPr>
          <w:rFonts w:hint="eastAsia" w:ascii="仿宋_GB2312" w:hAnsi="仿宋" w:eastAsia="仿宋_GB2312"/>
          <w:b/>
          <w:sz w:val="32"/>
          <w:szCs w:val="32"/>
          <w:lang w:val="en-US" w:eastAsia="zh-CN"/>
        </w:rPr>
        <w:t>七、报价要求</w:t>
      </w:r>
    </w:p>
    <w:p>
      <w:pPr>
        <w:spacing w:line="440" w:lineRule="exact"/>
        <w:ind w:firstLine="640" w:firstLineChars="200"/>
        <w:jc w:val="left"/>
        <w:rPr>
          <w:rFonts w:hint="default" w:ascii="仿宋_GB2312" w:hAnsi="仿宋" w:eastAsia="仿宋_GB2312"/>
          <w:bCs/>
          <w:sz w:val="32"/>
          <w:szCs w:val="32"/>
          <w:lang w:val="en-US" w:eastAsia="zh-CN"/>
        </w:rPr>
      </w:pPr>
      <w:r>
        <w:rPr>
          <w:rFonts w:hint="default" w:ascii="仿宋_GB2312" w:hAnsi="仿宋" w:eastAsia="仿宋_GB2312"/>
          <w:bCs/>
          <w:sz w:val="32"/>
          <w:szCs w:val="32"/>
          <w:lang w:val="en-US" w:eastAsia="zh-CN"/>
        </w:rPr>
        <w:t>本次报价采用含税包干总价模式，报价包含软件部署、接口开发、联调测试、</w:t>
      </w:r>
      <w:r>
        <w:rPr>
          <w:rFonts w:hint="eastAsia" w:ascii="仿宋_GB2312" w:hAnsi="仿宋" w:eastAsia="仿宋_GB2312"/>
          <w:bCs/>
          <w:sz w:val="32"/>
          <w:szCs w:val="32"/>
          <w:lang w:val="en-US" w:eastAsia="zh-CN"/>
        </w:rPr>
        <w:t>操作人员</w:t>
      </w:r>
      <w:r>
        <w:rPr>
          <w:rFonts w:hint="default" w:ascii="仿宋_GB2312" w:hAnsi="仿宋" w:eastAsia="仿宋_GB2312"/>
          <w:bCs/>
          <w:sz w:val="32"/>
          <w:szCs w:val="32"/>
          <w:lang w:val="en-US" w:eastAsia="zh-CN"/>
        </w:rPr>
        <w:t>培训、项目验收、差旅、全部税费等项目全过程相关费用，采购人不再</w:t>
      </w:r>
      <w:r>
        <w:rPr>
          <w:rFonts w:hint="eastAsia" w:ascii="仿宋_GB2312" w:hAnsi="仿宋" w:eastAsia="仿宋_GB2312"/>
          <w:bCs/>
          <w:sz w:val="32"/>
          <w:szCs w:val="32"/>
          <w:lang w:val="en-US" w:eastAsia="zh-CN"/>
        </w:rPr>
        <w:t>另外其他</w:t>
      </w:r>
      <w:r>
        <w:rPr>
          <w:rFonts w:hint="default" w:ascii="仿宋_GB2312" w:hAnsi="仿宋" w:eastAsia="仿宋_GB2312"/>
          <w:bCs/>
          <w:sz w:val="32"/>
          <w:szCs w:val="32"/>
          <w:lang w:val="en-US" w:eastAsia="zh-CN"/>
        </w:rPr>
        <w:t>支付任何费用。</w:t>
      </w:r>
    </w:p>
    <w:p>
      <w:pPr>
        <w:spacing w:line="440" w:lineRule="exact"/>
        <w:ind w:firstLine="643" w:firstLineChars="200"/>
        <w:jc w:val="left"/>
        <w:rPr>
          <w:rFonts w:hint="eastAsia" w:ascii="仿宋_GB2312" w:hAnsi="仿宋" w:eastAsia="仿宋_GB2312"/>
          <w:b/>
          <w:sz w:val="32"/>
          <w:szCs w:val="32"/>
          <w:lang w:val="en-US" w:eastAsia="zh-CN"/>
        </w:rPr>
      </w:pPr>
      <w:r>
        <w:rPr>
          <w:rFonts w:hint="eastAsia" w:ascii="仿宋_GB2312" w:hAnsi="仿宋" w:eastAsia="仿宋_GB2312"/>
          <w:b/>
          <w:sz w:val="32"/>
          <w:szCs w:val="32"/>
          <w:lang w:val="en-US" w:eastAsia="zh-CN"/>
        </w:rPr>
        <w:t>八、供应商资格要求</w:t>
      </w:r>
    </w:p>
    <w:p>
      <w:pPr>
        <w:numPr>
          <w:ilvl w:val="0"/>
          <w:numId w:val="2"/>
        </w:numPr>
        <w:spacing w:line="440" w:lineRule="exact"/>
        <w:ind w:firstLine="640" w:firstLineChars="200"/>
        <w:jc w:val="left"/>
        <w:rPr>
          <w:rFonts w:hint="default" w:ascii="仿宋_GB2312" w:hAnsi="仿宋" w:eastAsia="仿宋_GB2312"/>
          <w:bCs/>
          <w:sz w:val="32"/>
          <w:szCs w:val="32"/>
          <w:lang w:val="en-US" w:eastAsia="zh-CN"/>
        </w:rPr>
      </w:pPr>
      <w:r>
        <w:rPr>
          <w:rFonts w:hint="default" w:ascii="仿宋_GB2312" w:hAnsi="仿宋" w:eastAsia="仿宋_GB2312"/>
          <w:bCs/>
          <w:sz w:val="32"/>
          <w:szCs w:val="32"/>
          <w:lang w:val="en-US" w:eastAsia="zh-CN"/>
        </w:rPr>
        <w:t>具备独立法人资格，持有合法有效且在有效期内的营业执照，经营范围包含软件开发、信息技术服务、计算机信息系统集成相关类目。</w:t>
      </w:r>
    </w:p>
    <w:p>
      <w:pPr>
        <w:numPr>
          <w:ilvl w:val="0"/>
          <w:numId w:val="2"/>
        </w:numPr>
        <w:spacing w:line="440" w:lineRule="exact"/>
        <w:ind w:firstLine="640" w:firstLineChars="200"/>
        <w:jc w:val="left"/>
        <w:rPr>
          <w:rFonts w:hint="default" w:ascii="仿宋_GB2312" w:hAnsi="仿宋" w:eastAsia="仿宋_GB2312"/>
          <w:bCs/>
          <w:sz w:val="32"/>
          <w:szCs w:val="32"/>
          <w:lang w:val="en-US" w:eastAsia="zh-CN"/>
        </w:rPr>
      </w:pPr>
      <w:r>
        <w:rPr>
          <w:rFonts w:hint="default" w:ascii="仿宋_GB2312" w:hAnsi="仿宋" w:eastAsia="仿宋_GB2312"/>
          <w:bCs/>
          <w:sz w:val="32"/>
          <w:szCs w:val="32"/>
          <w:lang w:val="en-US" w:eastAsia="zh-CN"/>
        </w:rPr>
        <w:t>近三年不存在重大违法违规经营记录，未被列入失信被执行人、重大税收违法失信主体名单，市场信誉良好。</w:t>
      </w:r>
    </w:p>
    <w:p/>
    <w:sectPr>
      <w:pgSz w:w="11905" w:h="16840"/>
      <w:pgMar w:top="1417" w:right="1417" w:bottom="1417" w:left="1587" w:header="709" w:footer="720" w:gutter="0"/>
      <w:pgNumType w:fmt="decimal"/>
      <w:cols w:equalWidth="0" w:num="1">
        <w:col w:w="9070"/>
      </w:cols>
      <w:rtlGutter w:val="0"/>
      <w:docGrid w:linePitch="36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FD0EFF"/>
    <w:multiLevelType w:val="singleLevel"/>
    <w:tmpl w:val="8DFD0EFF"/>
    <w:lvl w:ilvl="0" w:tentative="0">
      <w:start w:val="1"/>
      <w:numFmt w:val="decimal"/>
      <w:lvlText w:val="%1."/>
      <w:lvlJc w:val="left"/>
      <w:pPr>
        <w:tabs>
          <w:tab w:val="left" w:pos="312"/>
        </w:tabs>
      </w:pPr>
    </w:lvl>
  </w:abstractNum>
  <w:abstractNum w:abstractNumId="1">
    <w:nsid w:val="DFDF8CEA"/>
    <w:multiLevelType w:val="singleLevel"/>
    <w:tmpl w:val="DFDF8C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A42942"/>
    <w:rsid w:val="06B90449"/>
    <w:rsid w:val="24A42942"/>
    <w:rsid w:val="41E77C66"/>
    <w:rsid w:val="46B93341"/>
    <w:rsid w:val="4EAC4FC4"/>
    <w:rsid w:val="5E750E09"/>
    <w:rsid w:val="6CE66B4D"/>
    <w:rsid w:val="726C54DD"/>
    <w:rsid w:val="75413FE4"/>
    <w:rsid w:val="77943EE3"/>
    <w:rsid w:val="790626D1"/>
    <w:rsid w:val="7953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2026-08-10T00:43:00Z</dcterms:created>
  <dc:creator>难搞哦</dc:creator>
  <cp:lastModifiedBy>难搞哦</cp:lastModifiedBy>
  <dcterms:modified xsi:type="dcterms:W3CDTF">2026-08-10T00:46:06Z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1403DFB75DB84ADE850AE5D9922E0B37</vt:lpwstr>
  </property>
</Properties>
</file>