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D4F0F">
      <w:pPr>
        <w:spacing w:line="600" w:lineRule="exact"/>
        <w:jc w:val="left"/>
        <w:rPr>
          <w:rFonts w:hint="eastAsia" w:ascii="Times New Roman" w:hAnsi="Times New Roman" w:eastAsia="黑体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auto"/>
          <w:sz w:val="32"/>
          <w:szCs w:val="32"/>
        </w:rPr>
        <w:t>附件1</w:t>
      </w:r>
    </w:p>
    <w:p w14:paraId="4C938F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采购需求</w:t>
      </w:r>
    </w:p>
    <w:p w14:paraId="62D9E6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73BE34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为进一步夯实信息安全基础，全面提升信息系统整体防护能力，根据《信息安全等级保护管理办法》《商用密码管理条例》等法律法规，严格落实行业信息化建设标准及政务信息安全相关要求，着力补齐安全短板，构建全方位、多层次的网络安全防线。现采购系统基础运行环境升级、全域安全防护能力强化及综合合规体系完善等信息化安全建设服务。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 w:bidi="ar"/>
        </w:rPr>
        <w:t>具体采购需求如下：</w:t>
      </w:r>
    </w:p>
    <w:tbl>
      <w:tblPr>
        <w:tblStyle w:val="10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7860"/>
      </w:tblGrid>
      <w:tr w14:paraId="044F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B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类目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F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技术要求</w:t>
            </w:r>
          </w:p>
        </w:tc>
      </w:tr>
      <w:tr w14:paraId="56E9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F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核心软件升级服务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0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数据库升级服务要求：提供不低于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2套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 xml:space="preserve">符合正版化要求并且通过中国安全测评认证中心的检测、适配柳州市全民健康信息平台的数据库租用服务。完成现有数据库的升级部署和迁移，涵盖表结构优化、索引重构、存储过程适配等操作；升级后需满足三级等保和三级密评要求。支持B-TREE索引、GIN倒排索引、Gist空间索引、UBtree等多种索引访问方式，并且支持同一模式（schema）下不同表创建同名索引，支持中文的全文检索功能，能够支持like操作符的全文检索，中文全文检索功能不依赖中文词典。支持各种类型表分区，包括Range分区表、List分区表、Hash分区表、system分区表和Interval分区表，支持两级分区方式、支持分区交换技术。支持不止一种的多版本并发控制（MVCC）机制，同一行的数据记录经过事务的修改，新老数据记录根据所选的机制不同，可存放在表的同一页面中，或者新数据存在表数据页中、老数据存放在专用的回滚空间中。多种MVCC机制可以更好地适应不同的业务场景。 </w:t>
            </w:r>
          </w:p>
          <w:p w14:paraId="1C1A8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服务器操作系统服务要求：提供不低于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30套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符合正版化要求并且通过中国安全测评认证中心的检测、适配柳州市全民健康信息平台的操作系统租用服务，需完成现有业务服务器操作系统的升级、补丁更新及配置优化；操作系统内置国密算法，支持基于国密算法的加解密应用，支持国密SM2/3/4，可提供国密版内核模块签名机制，以保证内核模块的可信性，禁止未签名模块加载至内核，可提供OpenSSL、Libgcrypt、Gnulib、Nettle、Hashes、libkcapi等常见算法库的国密版本，OpenSSL须支持X509、PKCS#7证书，软件包仓库及管理命令支持国密算法，以增强操作系统强安全性；升级后需关闭无用服务与高危端口，配置高强度密码策略（至少12位含大小写+数字+特殊字符），支持双因素认证，开启系统日志审计功能，确保日志留存不少于6个月且可追溯，能够精准定位异常操作；可按需提供与操作系统原厂商同品牌的自研运维监管系统，可视化监控系统软硬件和日志等信息，支持异常数据自动打包分析、多版本仓库的批量管理与运维功能，并提供仓库更新与同步报表等，以提升操作系统易维护性；同时完成操作系统与数据库、卫生健康业务系统的兼容性调试，优化系统运行性能，修复已知高危漏洞，配合开展基线核查。</w:t>
            </w:r>
          </w:p>
          <w:p w14:paraId="41BB45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安全可靠要求：数据库软件、服务器操作系统软件满足三级等保测评和三级密评要求，需提供正版软件授权证明。</w:t>
            </w:r>
          </w:p>
          <w:p w14:paraId="620A7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配套保障服务：升级完成后提供不少于1年的技术运维支持，7×24小时响应故障处理，一般性故障4小时内解决，复杂性故障24小时内解决；配合我单位完成三级等保测评、商用密码应用安全性评估中涉及运行环境的相关整改工作，提供必要的技术文档（含升级方案、配置手册、测试报告等），确保升级后的运行环境全面符合相关法规及行业规范要求，同时配合开展安全演练，提升环境应急处置能力。</w:t>
            </w:r>
          </w:p>
          <w:p w14:paraId="5B0BC9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42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自项目验收合格并交付使用起，服务期3年，具体服务起止时间以合同约定日期为准。</w:t>
            </w:r>
          </w:p>
        </w:tc>
      </w:tr>
      <w:tr w14:paraId="4715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5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云主机、云安全服务</w:t>
            </w:r>
          </w:p>
        </w:tc>
        <w:tc>
          <w:tcPr>
            <w:tcW w:w="4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41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0" w:leftChars="0" w:firstLine="560" w:firstLineChars="200"/>
              <w:jc w:val="left"/>
              <w:textAlignment w:val="center"/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云主机服务要求：提供资源总配置不少于</w:t>
            </w:r>
            <w:r>
              <w:rPr>
                <w:rStyle w:val="15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200核国产化vCPU、800GBvRAM、3000GB高性能存储（SSD硬盘资源）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的云主机服务，云主机具备以下功能：（1）支持云主机的生命周期管理，包括启动、暂停、恢复、停止、重启；（2）支持云主机的安全组的关联与更改；（3）支持弹性块存储设备的挂载和卸载；（4）支持云主机绑定公网IP；（5）支持云主机利用快照方式创建云备份；（6）支持创建云主机时，对云主机命名并自主设定登录密码；（7）支持虚机修改密码；（8）支持虚机更换镜像；（9）支持根据云主机生成镜像。</w:t>
            </w:r>
          </w:p>
          <w:p w14:paraId="033BED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二、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云安全服务要求：所有租用的云资源均须满足三级等保要求，并根据三级等保要求进行租用相关云安全服务，至少包含云防火墙（含IPS功能）、云WAF、云数据库审计、云日志审计、网页防篡改、云主机杀毒、堡垒机等，性能须满足业务系统需求，安全防护覆盖本项目租用的所有虚拟机；安全资源均具备高可用性，避免单点故障。</w:t>
            </w:r>
          </w:p>
          <w:p w14:paraId="21358E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三、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密码服务要求：参照《信息安全技术信息系统密码应用基本要求》（GB/T 39786-2021）进行建设，租用的云资源须满足商用密码应用安全性评估三级标准。应使用国家密码管理局批准的密码算法，采用经国家密码管理机构审批的密码设备或组件作为加密部件，采用随机数自检措施保证随机数的质量。密码和密码设备应按照国家密码管理的有关要求配用，所配用的密码算法包括SM2椭圆曲线密码算法（包括加密、签名和密钥协商算法）、SM3杂凑算法、SM4分组密码算法等。</w:t>
            </w:r>
          </w:p>
          <w:p w14:paraId="5BED04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四、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数据安全与运维保障：本项目所生成、取得或交换而来的数据归采购人所有，未经采购人书面同意，中标人不得擅自对数据进行存储、提取、分析、截留、阻断、加密等行为，中标人亦无权对第三方泄露本项目产生的任何数据信息内容。提供7×24小时云安全值守，及时处置安全突发事件，提供应急响应、漏洞修复、安全策略优化等技术支持；服务期间确保云环境符合《政府机关使用正版软件管理办法》要求，所有云相关软件均为正版授权，切实保护知识产权，筑牢云安全防线，保障卫生健康信息系统在云环境下持续合规、稳定运行。</w:t>
            </w:r>
          </w:p>
          <w:p w14:paraId="17AC86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0" w:leftChars="0" w:firstLine="56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Style w:val="16"/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五、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ar"/>
              </w:rPr>
              <w:t>自项目验收合格并交付使用起，服务期3年，具体服务起止时间以合同约定日期为准。</w:t>
            </w:r>
          </w:p>
        </w:tc>
      </w:tr>
    </w:tbl>
    <w:p w14:paraId="3D2BBD99">
      <w:pPr>
        <w:spacing w:line="600" w:lineRule="exact"/>
        <w:jc w:val="left"/>
        <w:rPr>
          <w:rFonts w:hint="eastAsia" w:ascii="Times New Roman" w:hAnsi="Times New Roman" w:eastAsia="黑体" w:cs="Times New Roman"/>
          <w:color w:val="auto"/>
          <w:sz w:val="32"/>
          <w:szCs w:val="32"/>
        </w:rPr>
      </w:pPr>
    </w:p>
    <w:p w14:paraId="40856573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42023C67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19CD6DF9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2BAAFC68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20BC1F98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29CB7447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3A24D7DB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2A3775A6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6089B5A7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156FB32A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57570266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 w14:paraId="5A4747E8">
      <w:pPr>
        <w:spacing w:line="600" w:lineRule="exact"/>
        <w:jc w:val="left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附件2</w:t>
      </w:r>
    </w:p>
    <w:p w14:paraId="0B48D565">
      <w:pPr>
        <w:spacing w:line="600" w:lineRule="exact"/>
        <w:ind w:firstLine="328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</w:rPr>
        <w:t>报价单</w:t>
      </w:r>
    </w:p>
    <w:p w14:paraId="44B58C1C">
      <w:pPr>
        <w:spacing w:line="600" w:lineRule="exact"/>
        <w:rPr>
          <w:color w:val="auto"/>
        </w:rPr>
      </w:pPr>
    </w:p>
    <w:p w14:paraId="401BF1E9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填报时间：     年   月   日</w:t>
      </w:r>
    </w:p>
    <w:tbl>
      <w:tblPr>
        <w:tblStyle w:val="10"/>
        <w:tblW w:w="499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0"/>
        <w:gridCol w:w="2548"/>
        <w:gridCol w:w="2479"/>
      </w:tblGrid>
      <w:tr w14:paraId="71272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A8812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34A59">
            <w:pPr>
              <w:widowControl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  <w:t>报价（元）</w:t>
            </w: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521E3">
            <w:pPr>
              <w:widowControl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备注</w:t>
            </w:r>
          </w:p>
        </w:tc>
      </w:tr>
      <w:tr w14:paraId="78A55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2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A268C">
            <w:pPr>
              <w:spacing w:line="600" w:lineRule="exact"/>
              <w:rPr>
                <w:rFonts w:ascii="仿宋_GB2312" w:hAnsi="宋体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A72AE8">
            <w:pPr>
              <w:spacing w:line="600" w:lineRule="exact"/>
              <w:rPr>
                <w:rFonts w:ascii="仿宋_GB2312" w:hAnsi="宋体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405DFF">
            <w:pPr>
              <w:spacing w:line="600" w:lineRule="exact"/>
              <w:rPr>
                <w:rFonts w:ascii="仿宋_GB2312" w:hAnsi="宋体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8F766F5">
      <w:pPr>
        <w:spacing w:line="600" w:lineRule="exact"/>
        <w:rPr>
          <w:color w:val="auto"/>
        </w:rPr>
      </w:pPr>
    </w:p>
    <w:p w14:paraId="295C609D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联系人：                  联系电话：</w:t>
      </w:r>
    </w:p>
    <w:p w14:paraId="44F2B6C1">
      <w:pPr>
        <w:spacing w:line="600" w:lineRule="exact"/>
        <w:ind w:firstLine="328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12BF6658">
      <w:pPr>
        <w:rPr>
          <w:color w:val="auto"/>
        </w:rPr>
      </w:pPr>
    </w:p>
    <w:p w14:paraId="54E13504">
      <w:pPr>
        <w:pStyle w:val="9"/>
        <w:widowControl/>
        <w:shd w:val="clear" w:color="auto" w:fill="FFFFFF"/>
        <w:spacing w:beforeAutospacing="0" w:after="180" w:afterAutospacing="0" w:line="400" w:lineRule="exact"/>
        <w:rPr>
          <w:rFonts w:ascii="仿宋_GB2312" w:hAnsi="Helvetica" w:eastAsia="仿宋_GB2312" w:cs="仿宋_GB2312"/>
          <w:color w:val="auto"/>
          <w:sz w:val="32"/>
          <w:szCs w:val="32"/>
          <w:shd w:val="clear" w:color="auto" w:fill="FFFFFF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19C794-2247-4AD3-9D24-462BEBC24D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C9BB4B1-F1FD-4318-A4A8-3AD9A65FDE2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002020204"/>
    <w:charset w:val="00"/>
    <w:family w:val="swiss"/>
    <w:pitch w:val="default"/>
    <w:sig w:usb0="00000000" w:usb1="00000000" w:usb2="00000009" w:usb3="00000000" w:csb0="000001FF" w:csb1="00000000"/>
    <w:embedRegular r:id="rId3" w:fontKey="{A42CEAEC-07AF-4E52-9B18-179F3505835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EB6CF0"/>
    <w:multiLevelType w:val="singleLevel"/>
    <w:tmpl w:val="27EB6CF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B2B72"/>
    <w:rsid w:val="060F639F"/>
    <w:rsid w:val="08DA7574"/>
    <w:rsid w:val="0DB562C2"/>
    <w:rsid w:val="17DB5AA4"/>
    <w:rsid w:val="2D6B62EE"/>
    <w:rsid w:val="2DA354EC"/>
    <w:rsid w:val="39C9665C"/>
    <w:rsid w:val="40B25959"/>
    <w:rsid w:val="54E56216"/>
    <w:rsid w:val="661F0E5C"/>
    <w:rsid w:val="7953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页眉 字符"/>
    <w:basedOn w:val="11"/>
    <w:link w:val="8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页脚 字符"/>
    <w:basedOn w:val="11"/>
    <w:link w:val="7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bef46ea-ade6-4c06-b4d0-c572a5c33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2480</Words>
  <Characters>2704</Characters>
  <Paragraphs>93</Paragraphs>
  <TotalTime>42</TotalTime>
  <ScaleCrop>false</ScaleCrop>
  <LinksUpToDate>false</LinksUpToDate>
  <CharactersWithSpaces>2762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2026-05-18T01:07:00Z</dcterms:created>
  <dc:creator>叁石</dc:creator>
  <cp:lastModifiedBy>小凡</cp:lastModifiedBy>
  <dcterms:modified xsi:type="dcterms:W3CDTF">2026-10-08T02:19:12Z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EBEC74A888E44D2B8280CD37F67B113B_13</vt:lpwstr>
  </property>
  <property fmtid="{D5CDD505-2E9C-101B-9397-08002B2CF9AE}" pid="4" name="KSOTemplateDocerSaveRecord">
    <vt:lpwstr>eyJoZGlkIjoiOTg0YTQyNmU0NjBiNjE2NDJkZWJmOTk2YzgzNWJmZDMiLCJ1c2VySWQiOiIyNjc2Nzg2NjUifQ==</vt:lpwstr>
  </property>
</Properties>
</file>