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454D6">
      <w:pPr>
        <w:spacing w:after="0" w:line="600" w:lineRule="exact"/>
        <w:jc w:val="both"/>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val="en-US" w:eastAsia="zh-CN"/>
        </w:rPr>
        <w:t>附件1</w:t>
      </w:r>
    </w:p>
    <w:p w14:paraId="118F6CD8">
      <w:pPr>
        <w:keepNext w:val="0"/>
        <w:keepLines w:val="0"/>
        <w:pageBreakBefore w:val="0"/>
        <w:widowControl w:val="0"/>
        <w:kinsoku/>
        <w:wordWrap/>
        <w:overflowPunct/>
        <w:topLinePunct w:val="0"/>
        <w:bidi w:val="0"/>
        <w:adjustRightInd/>
        <w:snapToGrid/>
        <w:spacing w:after="0" w:line="600" w:lineRule="exact"/>
        <w:jc w:val="center"/>
        <w:textAlignment w:val="auto"/>
        <w:rPr>
          <w:rFonts w:hint="eastAsia" w:ascii="方正小标宋简体" w:hAnsi="方正小标宋简体" w:eastAsia="方正小标宋简体" w:cs="方正小标宋简体"/>
          <w:color w:val="000000"/>
          <w:sz w:val="44"/>
          <w:szCs w:val="44"/>
          <w:shd w:val="clear" w:color="auto" w:fill="FFFFFF"/>
        </w:rPr>
      </w:pPr>
      <w:r>
        <w:rPr>
          <w:rFonts w:hint="eastAsia" w:ascii="方正小标宋简体" w:hAnsi="方正小标宋简体" w:eastAsia="方正小标宋简体" w:cs="方正小标宋简体"/>
          <w:color w:val="000000"/>
          <w:sz w:val="44"/>
          <w:szCs w:val="44"/>
          <w:shd w:val="clear" w:color="auto" w:fill="FFFFFF"/>
          <w:lang w:val="en-US" w:eastAsia="zh-CN"/>
        </w:rPr>
        <w:t>采购</w:t>
      </w:r>
      <w:r>
        <w:rPr>
          <w:rFonts w:hint="eastAsia" w:ascii="方正小标宋简体" w:hAnsi="方正小标宋简体" w:eastAsia="方正小标宋简体" w:cs="方正小标宋简体"/>
          <w:color w:val="000000"/>
          <w:sz w:val="44"/>
          <w:szCs w:val="44"/>
          <w:shd w:val="clear" w:color="auto" w:fill="FFFFFF"/>
        </w:rPr>
        <w:t>需求</w:t>
      </w:r>
    </w:p>
    <w:p w14:paraId="21F16961">
      <w:pPr>
        <w:pStyle w:val="2"/>
        <w:keepNext w:val="0"/>
        <w:keepLines w:val="0"/>
        <w:pageBreakBefore w:val="0"/>
        <w:widowControl w:val="0"/>
        <w:kinsoku/>
        <w:wordWrap/>
        <w:overflowPunct/>
        <w:topLinePunct w:val="0"/>
        <w:bidi w:val="0"/>
        <w:adjustRightInd/>
        <w:snapToGrid/>
        <w:spacing w:before="7" w:line="600" w:lineRule="exact"/>
        <w:ind w:left="0"/>
        <w:textAlignment w:val="auto"/>
        <w:rPr>
          <w:rFonts w:ascii="宋体"/>
          <w:b/>
          <w:sz w:val="54"/>
        </w:rPr>
      </w:pPr>
    </w:p>
    <w:p w14:paraId="620CA104">
      <w:pPr>
        <w:pStyle w:val="2"/>
        <w:keepNext w:val="0"/>
        <w:keepLines w:val="0"/>
        <w:pageBreakBefore w:val="0"/>
        <w:widowControl w:val="0"/>
        <w:numPr>
          <w:ilvl w:val="0"/>
          <w:numId w:val="1"/>
        </w:numPr>
        <w:kinsoku/>
        <w:wordWrap/>
        <w:overflowPunct/>
        <w:topLinePunct w:val="0"/>
        <w:bidi w:val="0"/>
        <w:adjustRightInd/>
        <w:snapToGrid/>
        <w:spacing w:before="0" w:line="600" w:lineRule="exact"/>
        <w:textAlignment w:val="auto"/>
        <w:rPr>
          <w:rFonts w:hint="eastAsia" w:ascii="黑体" w:eastAsia="黑体"/>
          <w:lang w:val="en-US" w:eastAsia="zh-CN"/>
        </w:rPr>
      </w:pPr>
      <w:r>
        <w:rPr>
          <w:rFonts w:hint="eastAsia" w:ascii="黑体" w:eastAsia="黑体"/>
          <w:lang w:val="en-US" w:eastAsia="zh-CN"/>
        </w:rPr>
        <w:t>等保测评</w:t>
      </w:r>
    </w:p>
    <w:p w14:paraId="78C1B62C">
      <w:pPr>
        <w:pStyle w:val="2"/>
        <w:keepNext w:val="0"/>
        <w:keepLines w:val="0"/>
        <w:pageBreakBefore w:val="0"/>
        <w:widowControl w:val="0"/>
        <w:numPr>
          <w:numId w:val="0"/>
        </w:numPr>
        <w:kinsoku/>
        <w:wordWrap/>
        <w:overflowPunct/>
        <w:topLinePunct w:val="0"/>
        <w:bidi w:val="0"/>
        <w:adjustRightInd/>
        <w:snapToGrid/>
        <w:spacing w:before="0" w:line="600" w:lineRule="exact"/>
        <w:ind w:right="0" w:rightChars="0" w:firstLine="640" w:firstLineChars="200"/>
        <w:textAlignment w:val="auto"/>
        <w:rPr>
          <w:rFonts w:hint="eastAsia" w:ascii="黑体" w:eastAsia="黑体"/>
        </w:rPr>
      </w:pPr>
      <w:r>
        <w:rPr>
          <w:rFonts w:hint="eastAsia" w:ascii="黑体" w:eastAsia="黑体"/>
          <w:lang w:eastAsia="zh-CN"/>
        </w:rPr>
        <w:t>（</w:t>
      </w:r>
      <w:r>
        <w:rPr>
          <w:rFonts w:hint="eastAsia" w:ascii="黑体" w:eastAsia="黑体"/>
          <w:lang w:val="en-US" w:eastAsia="zh-CN"/>
        </w:rPr>
        <w:t>一</w:t>
      </w:r>
      <w:r>
        <w:rPr>
          <w:rFonts w:hint="eastAsia" w:ascii="黑体" w:eastAsia="黑体"/>
          <w:lang w:eastAsia="zh-CN"/>
        </w:rPr>
        <w:t>）</w:t>
      </w:r>
      <w:r>
        <w:rPr>
          <w:rFonts w:hint="eastAsia" w:ascii="黑体" w:eastAsia="黑体"/>
        </w:rPr>
        <w:t>项目概况</w:t>
      </w:r>
    </w:p>
    <w:p w14:paraId="241996E9">
      <w:pPr>
        <w:pStyle w:val="2"/>
        <w:keepNext w:val="0"/>
        <w:keepLines w:val="0"/>
        <w:pageBreakBefore w:val="0"/>
        <w:widowControl w:val="0"/>
        <w:kinsoku/>
        <w:wordWrap/>
        <w:overflowPunct/>
        <w:topLinePunct w:val="0"/>
        <w:bidi w:val="0"/>
        <w:adjustRightInd/>
        <w:snapToGrid/>
        <w:spacing w:line="600" w:lineRule="exact"/>
        <w:ind w:left="120" w:right="245" w:firstLine="640"/>
        <w:jc w:val="both"/>
        <w:textAlignment w:val="auto"/>
      </w:pPr>
      <w:r>
        <w:t xml:space="preserve">为进一步落实国家关于信息安全等级保护工作的要求， </w:t>
      </w:r>
      <w:r>
        <w:rPr>
          <w:spacing w:val="-1"/>
        </w:rPr>
        <w:t>查找信息系统的安全薄弱环节，并按照国家信息安全等级保</w:t>
      </w:r>
      <w:r>
        <w:rPr>
          <w:spacing w:val="-3"/>
        </w:rPr>
        <w:t>护技术标准提出整改建议，使信息系统安全保护状况逐步达</w:t>
      </w:r>
      <w:r>
        <w:rPr>
          <w:spacing w:val="-4"/>
        </w:rPr>
        <w:t>到相应的等级保护要求，</w:t>
      </w:r>
      <w:r>
        <w:rPr>
          <w:rFonts w:hint="eastAsia"/>
          <w:spacing w:val="-4"/>
          <w:lang w:eastAsia="zh-CN"/>
        </w:rPr>
        <w:t>现</w:t>
      </w:r>
      <w:r>
        <w:rPr>
          <w:spacing w:val="-4"/>
        </w:rPr>
        <w:t>计划采购一</w:t>
      </w:r>
      <w:r>
        <w:rPr>
          <w:spacing w:val="11"/>
          <w:w w:val="95"/>
        </w:rPr>
        <w:t>家有等级测评资质的测评机构对相关信息系统开展信息系</w:t>
      </w:r>
      <w:r>
        <w:rPr>
          <w:spacing w:val="11"/>
        </w:rPr>
        <w:t>统安全等级保护测评工作。</w:t>
      </w:r>
    </w:p>
    <w:p w14:paraId="1DD4C739">
      <w:pPr>
        <w:pStyle w:val="2"/>
        <w:keepNext w:val="0"/>
        <w:keepLines w:val="0"/>
        <w:pageBreakBefore w:val="0"/>
        <w:widowControl w:val="0"/>
        <w:kinsoku/>
        <w:wordWrap/>
        <w:overflowPunct/>
        <w:topLinePunct w:val="0"/>
        <w:bidi w:val="0"/>
        <w:adjustRightInd/>
        <w:snapToGrid/>
        <w:spacing w:before="5" w:line="600" w:lineRule="exact"/>
        <w:textAlignment w:val="auto"/>
        <w:rPr>
          <w:rFonts w:hint="eastAsia" w:ascii="黑体" w:eastAsia="黑体"/>
        </w:rPr>
      </w:pPr>
      <w:r>
        <w:rPr>
          <w:rFonts w:hint="eastAsia" w:ascii="黑体" w:eastAsia="黑体"/>
          <w:lang w:eastAsia="zh-CN"/>
        </w:rPr>
        <w:t>（</w:t>
      </w:r>
      <w:r>
        <w:rPr>
          <w:rFonts w:hint="eastAsia" w:ascii="黑体" w:eastAsia="黑体"/>
          <w:lang w:val="en-US" w:eastAsia="zh-CN"/>
        </w:rPr>
        <w:t>二</w:t>
      </w:r>
      <w:r>
        <w:rPr>
          <w:rFonts w:hint="eastAsia" w:ascii="黑体" w:eastAsia="黑体"/>
          <w:lang w:eastAsia="zh-CN"/>
        </w:rPr>
        <w:t>）</w:t>
      </w:r>
      <w:r>
        <w:rPr>
          <w:rFonts w:hint="eastAsia" w:ascii="黑体" w:eastAsia="黑体"/>
        </w:rPr>
        <w:t>项目需求</w:t>
      </w:r>
    </w:p>
    <w:p w14:paraId="48716E35">
      <w:pPr>
        <w:pStyle w:val="2"/>
        <w:keepNext w:val="0"/>
        <w:keepLines w:val="0"/>
        <w:pageBreakBefore w:val="0"/>
        <w:widowControl w:val="0"/>
        <w:kinsoku/>
        <w:wordWrap/>
        <w:overflowPunct/>
        <w:topLinePunct w:val="0"/>
        <w:bidi w:val="0"/>
        <w:adjustRightInd/>
        <w:snapToGrid/>
        <w:spacing w:before="3" w:line="600" w:lineRule="exact"/>
        <w:textAlignment w:val="auto"/>
        <w:rPr>
          <w:rFonts w:hint="default" w:ascii="Times New Roman" w:hAnsi="Times New Roman" w:eastAsia="仿宋_GB2312" w:cs="Times New Roman"/>
        </w:rPr>
      </w:pPr>
      <w:r>
        <w:rPr>
          <w:rFonts w:hint="default" w:ascii="Times New Roman" w:hAnsi="Times New Roman" w:eastAsia="仿宋_GB2312" w:cs="Times New Roman"/>
          <w:spacing w:val="27"/>
        </w:rPr>
        <w:t>1</w:t>
      </w:r>
      <w:r>
        <w:rPr>
          <w:rFonts w:hint="default" w:ascii="Times New Roman" w:hAnsi="Times New Roman" w:eastAsia="仿宋_GB2312" w:cs="Times New Roman"/>
          <w:spacing w:val="20"/>
        </w:rPr>
        <w:t>、依据《信息系统安全等级保护基本要求》</w:t>
      </w:r>
      <w:r>
        <w:rPr>
          <w:rFonts w:hint="default" w:ascii="Times New Roman" w:hAnsi="Times New Roman" w:eastAsia="仿宋_GB2312" w:cs="Times New Roman"/>
        </w:rPr>
        <w:t>（</w:t>
      </w:r>
      <w:r>
        <w:rPr>
          <w:rFonts w:hint="default" w:ascii="Times New Roman" w:hAnsi="Times New Roman" w:eastAsia="仿宋_GB2312" w:cs="Times New Roman"/>
          <w:spacing w:val="-132"/>
        </w:rPr>
        <w:t xml:space="preserve"> </w:t>
      </w:r>
      <w:r>
        <w:rPr>
          <w:rFonts w:hint="default" w:ascii="Times New Roman" w:hAnsi="Times New Roman" w:eastAsia="仿宋_GB2312" w:cs="Times New Roman"/>
        </w:rPr>
        <w:t>GB/T</w:t>
      </w:r>
    </w:p>
    <w:p w14:paraId="49D6BC12">
      <w:pPr>
        <w:pStyle w:val="2"/>
        <w:keepNext w:val="0"/>
        <w:keepLines w:val="0"/>
        <w:pageBreakBefore w:val="0"/>
        <w:widowControl w:val="0"/>
        <w:kinsoku/>
        <w:wordWrap/>
        <w:overflowPunct/>
        <w:topLinePunct w:val="0"/>
        <w:bidi w:val="0"/>
        <w:adjustRightInd/>
        <w:snapToGrid/>
        <w:spacing w:line="600" w:lineRule="exact"/>
        <w:ind w:left="120" w:right="257"/>
        <w:jc w:val="both"/>
        <w:textAlignment w:val="auto"/>
        <w:rPr>
          <w:rFonts w:hint="default" w:ascii="Times New Roman" w:hAnsi="Times New Roman" w:eastAsia="仿宋_GB2312" w:cs="Times New Roman"/>
        </w:rPr>
      </w:pPr>
      <w:r>
        <w:rPr>
          <w:rFonts w:hint="default" w:ascii="Times New Roman" w:hAnsi="Times New Roman" w:eastAsia="仿宋_GB2312" w:cs="Times New Roman"/>
          <w:w w:val="95"/>
        </w:rPr>
        <w:t>22239-2008）</w:t>
      </w:r>
      <w:r>
        <w:rPr>
          <w:rFonts w:hint="default" w:ascii="Times New Roman" w:hAnsi="Times New Roman" w:eastAsia="仿宋_GB2312" w:cs="Times New Roman"/>
          <w:spacing w:val="-1"/>
          <w:w w:val="95"/>
        </w:rPr>
        <w:t>等信息系统等级保护要求，对柳州市</w:t>
      </w:r>
      <w:r>
        <w:rPr>
          <w:rFonts w:hint="default" w:ascii="Times New Roman" w:hAnsi="Times New Roman" w:eastAsia="仿宋_GB2312" w:cs="Times New Roman"/>
          <w:spacing w:val="-1"/>
          <w:w w:val="95"/>
          <w:lang w:eastAsia="zh-CN"/>
        </w:rPr>
        <w:t>公立医院绩效考核平台</w:t>
      </w:r>
      <w:r>
        <w:rPr>
          <w:rFonts w:hint="default" w:ascii="Times New Roman" w:hAnsi="Times New Roman" w:eastAsia="仿宋_GB2312" w:cs="Times New Roman"/>
          <w:spacing w:val="-1"/>
        </w:rPr>
        <w:t>开展信息系统安全等级保护测评工作，要求出具</w:t>
      </w:r>
      <w:r>
        <w:rPr>
          <w:rFonts w:hint="default" w:ascii="Times New Roman" w:hAnsi="Times New Roman" w:eastAsia="仿宋_GB2312" w:cs="Times New Roman"/>
          <w:spacing w:val="-2"/>
        </w:rPr>
        <w:t>符合国家信息安全等级保护管理部门规范要求、公安机关认可的信息系统安全等级测评报告。</w:t>
      </w:r>
    </w:p>
    <w:p w14:paraId="611BAC15">
      <w:pPr>
        <w:pStyle w:val="2"/>
        <w:keepNext w:val="0"/>
        <w:keepLines w:val="0"/>
        <w:pageBreakBefore w:val="0"/>
        <w:widowControl w:val="0"/>
        <w:kinsoku/>
        <w:wordWrap/>
        <w:overflowPunct/>
        <w:topLinePunct w:val="0"/>
        <w:bidi w:val="0"/>
        <w:adjustRightInd/>
        <w:snapToGrid/>
        <w:spacing w:before="30" w:line="600" w:lineRule="exact"/>
        <w:ind w:left="0" w:leftChars="0" w:right="99" w:firstLine="320" w:firstLineChars="100"/>
        <w:textAlignment w:val="auto"/>
        <w:rPr>
          <w:rFonts w:hint="default" w:ascii="Times New Roman" w:hAnsi="Times New Roman" w:eastAsia="仿宋_GB2312" w:cs="Times New Roman"/>
          <w:w w:val="100"/>
          <w:sz w:val="32"/>
        </w:rPr>
      </w:pPr>
      <w:r>
        <w:rPr>
          <w:rFonts w:hint="default" w:ascii="Times New Roman" w:hAnsi="Times New Roman" w:eastAsia="仿宋_GB2312" w:cs="Times New Roman"/>
        </w:rPr>
        <w:t>2、</w:t>
      </w:r>
      <w:r>
        <w:rPr>
          <w:rFonts w:hint="default" w:ascii="Times New Roman" w:hAnsi="Times New Roman" w:eastAsia="仿宋_GB2312" w:cs="Times New Roman"/>
          <w:w w:val="100"/>
          <w:sz w:val="32"/>
        </w:rPr>
        <w:t>信息系统的安全等级测评内容应包括技术和管理</w:t>
      </w:r>
      <w:r>
        <w:rPr>
          <w:rFonts w:hint="default" w:ascii="Times New Roman" w:hAnsi="Times New Roman" w:eastAsia="仿宋_GB2312" w:cs="Times New Roman"/>
          <w:w w:val="100"/>
          <w:sz w:val="32"/>
          <w:lang w:eastAsia="zh-CN"/>
        </w:rPr>
        <w:t>两</w:t>
      </w:r>
      <w:r>
        <w:rPr>
          <w:rFonts w:hint="default" w:ascii="Times New Roman" w:hAnsi="Times New Roman" w:eastAsia="仿宋_GB2312" w:cs="Times New Roman"/>
          <w:spacing w:val="-14"/>
          <w:w w:val="100"/>
          <w:sz w:val="32"/>
        </w:rPr>
        <w:t xml:space="preserve">大类，其中技术类应包括对物理安全、网络安全、主机安全、 </w:t>
      </w:r>
      <w:r>
        <w:rPr>
          <w:rFonts w:hint="default" w:ascii="Times New Roman" w:hAnsi="Times New Roman" w:eastAsia="仿宋_GB2312" w:cs="Times New Roman"/>
          <w:spacing w:val="-15"/>
          <w:w w:val="100"/>
          <w:sz w:val="32"/>
        </w:rPr>
        <w:t>应用安全和数据安全及备份恢复等方面的测评，管理类测评</w:t>
      </w:r>
      <w:r>
        <w:rPr>
          <w:rFonts w:hint="default" w:ascii="Times New Roman" w:hAnsi="Times New Roman" w:eastAsia="仿宋_GB2312" w:cs="Times New Roman"/>
          <w:spacing w:val="-20"/>
          <w:w w:val="100"/>
          <w:sz w:val="32"/>
        </w:rPr>
        <w:t>应包括对机构安全管理机构、人员安全管理、安全管理制度、 系统建设管理和系统运维管理等方面的测评。</w:t>
      </w:r>
    </w:p>
    <w:p w14:paraId="1AE4E6CA">
      <w:pPr>
        <w:pStyle w:val="2"/>
        <w:keepNext w:val="0"/>
        <w:keepLines w:val="0"/>
        <w:pageBreakBefore w:val="0"/>
        <w:widowControl w:val="0"/>
        <w:kinsoku/>
        <w:wordWrap/>
        <w:overflowPunct/>
        <w:topLinePunct w:val="0"/>
        <w:bidi w:val="0"/>
        <w:adjustRightInd/>
        <w:snapToGrid/>
        <w:spacing w:before="3" w:line="600" w:lineRule="exact"/>
        <w:ind w:left="120" w:right="259" w:firstLine="640"/>
        <w:jc w:val="both"/>
        <w:textAlignment w:val="auto"/>
        <w:rPr>
          <w:rFonts w:hint="default" w:ascii="Times New Roman" w:hAnsi="Times New Roman" w:eastAsia="仿宋_GB2312" w:cs="Times New Roman"/>
        </w:rPr>
      </w:pPr>
      <w:r>
        <w:rPr>
          <w:rFonts w:hint="default" w:ascii="Times New Roman" w:hAnsi="Times New Roman" w:eastAsia="仿宋_GB2312" w:cs="Times New Roman"/>
          <w:spacing w:val="6"/>
          <w:w w:val="95"/>
        </w:rPr>
        <w:t xml:space="preserve">3、测评机构应具备对测评过程中发现的漏洞进行深度 </w:t>
      </w:r>
      <w:r>
        <w:rPr>
          <w:rFonts w:hint="default" w:ascii="Times New Roman" w:hAnsi="Times New Roman" w:eastAsia="仿宋_GB2312" w:cs="Times New Roman"/>
        </w:rPr>
        <w:t>挖掘的能力，以获得过国家计算机网络应急技术处理协调中</w:t>
      </w:r>
      <w:r>
        <w:rPr>
          <w:rFonts w:hint="default" w:ascii="Times New Roman" w:hAnsi="Times New Roman" w:eastAsia="仿宋_GB2312" w:cs="Times New Roman"/>
          <w:spacing w:val="-1"/>
          <w:w w:val="95"/>
        </w:rPr>
        <w:t>心和国家信息安全漏洞共享平台</w:t>
      </w:r>
      <w:r>
        <w:rPr>
          <w:rFonts w:hint="default" w:ascii="Times New Roman" w:hAnsi="Times New Roman" w:eastAsia="仿宋_GB2312" w:cs="Times New Roman"/>
          <w:w w:val="95"/>
        </w:rPr>
        <w:t>（CVND）</w:t>
      </w:r>
      <w:r>
        <w:rPr>
          <w:rFonts w:hint="default" w:ascii="Times New Roman" w:hAnsi="Times New Roman" w:eastAsia="仿宋_GB2312" w:cs="Times New Roman"/>
          <w:spacing w:val="-2"/>
          <w:w w:val="95"/>
        </w:rPr>
        <w:t xml:space="preserve">颁发的《原创漏洞 </w:t>
      </w:r>
      <w:r>
        <w:rPr>
          <w:rFonts w:hint="default" w:ascii="Times New Roman" w:hAnsi="Times New Roman" w:eastAsia="仿宋_GB2312" w:cs="Times New Roman"/>
          <w:spacing w:val="-2"/>
        </w:rPr>
        <w:t>证明》为佳。</w:t>
      </w:r>
    </w:p>
    <w:p w14:paraId="2BCB3BC4">
      <w:pPr>
        <w:pStyle w:val="2"/>
        <w:keepNext w:val="0"/>
        <w:keepLines w:val="0"/>
        <w:pageBreakBefore w:val="0"/>
        <w:widowControl w:val="0"/>
        <w:kinsoku/>
        <w:wordWrap/>
        <w:overflowPunct/>
        <w:topLinePunct w:val="0"/>
        <w:bidi w:val="0"/>
        <w:adjustRightInd/>
        <w:snapToGrid/>
        <w:spacing w:before="3" w:line="600" w:lineRule="exact"/>
        <w:textAlignment w:val="auto"/>
        <w:rPr>
          <w:rFonts w:hint="default" w:ascii="Times New Roman" w:hAnsi="Times New Roman" w:eastAsia="仿宋_GB2312" w:cs="Times New Roman"/>
        </w:rPr>
      </w:pPr>
      <w:r>
        <w:rPr>
          <w:rFonts w:hint="default" w:ascii="Times New Roman" w:hAnsi="Times New Roman" w:eastAsia="仿宋_GB2312" w:cs="Times New Roman"/>
        </w:rPr>
        <w:t>4、协助完成所测评系统的等级保护定级备案。</w:t>
      </w:r>
    </w:p>
    <w:p w14:paraId="2590F122">
      <w:pPr>
        <w:pStyle w:val="2"/>
        <w:keepNext w:val="0"/>
        <w:keepLines w:val="0"/>
        <w:pageBreakBefore w:val="0"/>
        <w:widowControl w:val="0"/>
        <w:kinsoku/>
        <w:wordWrap/>
        <w:overflowPunct/>
        <w:topLinePunct w:val="0"/>
        <w:bidi w:val="0"/>
        <w:adjustRightInd/>
        <w:snapToGrid/>
        <w:spacing w:line="600" w:lineRule="exact"/>
        <w:textAlignment w:val="auto"/>
        <w:rPr>
          <w:rFonts w:hint="default" w:ascii="Times New Roman" w:hAnsi="Times New Roman" w:eastAsia="仿宋_GB2312" w:cs="Times New Roman"/>
        </w:rPr>
      </w:pPr>
      <w:r>
        <w:rPr>
          <w:rFonts w:hint="default" w:ascii="Times New Roman" w:hAnsi="Times New Roman" w:eastAsia="仿宋_GB2312" w:cs="Times New Roman"/>
        </w:rPr>
        <w:t>5、开展一次等级保护相关知识培训。</w:t>
      </w:r>
    </w:p>
    <w:p w14:paraId="0E90C38B">
      <w:pPr>
        <w:pStyle w:val="2"/>
        <w:keepNext w:val="0"/>
        <w:keepLines w:val="0"/>
        <w:pageBreakBefore w:val="0"/>
        <w:widowControl w:val="0"/>
        <w:kinsoku/>
        <w:wordWrap/>
        <w:overflowPunct/>
        <w:topLinePunct w:val="0"/>
        <w:bidi w:val="0"/>
        <w:adjustRightInd/>
        <w:snapToGrid/>
        <w:spacing w:line="600" w:lineRule="exact"/>
        <w:textAlignment w:val="auto"/>
        <w:rPr>
          <w:rFonts w:hint="eastAsia" w:ascii="黑体" w:eastAsia="黑体"/>
        </w:rPr>
      </w:pPr>
      <w:r>
        <w:rPr>
          <w:rFonts w:hint="eastAsia" w:ascii="黑体" w:eastAsia="黑体"/>
          <w:lang w:eastAsia="zh-CN"/>
        </w:rPr>
        <w:t>（</w:t>
      </w:r>
      <w:r>
        <w:rPr>
          <w:rFonts w:hint="eastAsia" w:ascii="黑体" w:eastAsia="黑体"/>
          <w:lang w:val="en-US" w:eastAsia="zh-CN"/>
        </w:rPr>
        <w:t>三</w:t>
      </w:r>
      <w:r>
        <w:rPr>
          <w:rFonts w:hint="eastAsia" w:ascii="黑体" w:eastAsia="黑体"/>
          <w:lang w:eastAsia="zh-CN"/>
        </w:rPr>
        <w:t>）</w:t>
      </w:r>
      <w:r>
        <w:rPr>
          <w:rFonts w:hint="eastAsia" w:ascii="黑体" w:eastAsia="黑体"/>
        </w:rPr>
        <w:t>完成期限及服务地点</w:t>
      </w:r>
    </w:p>
    <w:p w14:paraId="494D5FA0">
      <w:pPr>
        <w:pStyle w:val="2"/>
        <w:keepNext w:val="0"/>
        <w:keepLines w:val="0"/>
        <w:pageBreakBefore w:val="0"/>
        <w:widowControl w:val="0"/>
        <w:kinsoku/>
        <w:wordWrap/>
        <w:overflowPunct/>
        <w:topLinePunct w:val="0"/>
        <w:bidi w:val="0"/>
        <w:adjustRightInd/>
        <w:snapToGrid/>
        <w:spacing w:line="600" w:lineRule="exact"/>
        <w:ind w:left="120" w:right="259" w:firstLine="640"/>
        <w:textAlignment w:val="auto"/>
        <w:rPr>
          <w:rFonts w:hint="default" w:ascii="Times New Roman" w:hAnsi="Times New Roman" w:cs="Times New Roman"/>
        </w:rPr>
      </w:pPr>
      <w:r>
        <w:rPr>
          <w:rFonts w:hint="default" w:ascii="Times New Roman" w:hAnsi="Times New Roman" w:cs="Times New Roman"/>
          <w:spacing w:val="6"/>
          <w:w w:val="95"/>
        </w:rPr>
        <w:t>1、完成期限：被测信息系统的所有现场测评及出具报</w:t>
      </w:r>
      <w:r>
        <w:rPr>
          <w:rFonts w:hint="default" w:ascii="Times New Roman" w:hAnsi="Times New Roman" w:cs="Times New Roman"/>
          <w:spacing w:val="-2"/>
        </w:rPr>
        <w:t xml:space="preserve">告须在合同签订之日起 </w:t>
      </w:r>
      <w:r>
        <w:rPr>
          <w:rFonts w:hint="default" w:ascii="Times New Roman" w:hAnsi="Times New Roman" w:cs="Times New Roman"/>
        </w:rPr>
        <w:t>45</w:t>
      </w:r>
      <w:r>
        <w:rPr>
          <w:rFonts w:hint="default" w:ascii="Times New Roman" w:hAnsi="Times New Roman" w:cs="Times New Roman"/>
          <w:spacing w:val="-10"/>
        </w:rPr>
        <w:t xml:space="preserve"> 个工作日之内完成。</w:t>
      </w:r>
    </w:p>
    <w:p w14:paraId="6DB51D16">
      <w:pPr>
        <w:pStyle w:val="2"/>
        <w:keepNext w:val="0"/>
        <w:keepLines w:val="0"/>
        <w:pageBreakBefore w:val="0"/>
        <w:widowControl w:val="0"/>
        <w:kinsoku/>
        <w:wordWrap/>
        <w:overflowPunct/>
        <w:topLinePunct w:val="0"/>
        <w:bidi w:val="0"/>
        <w:adjustRightInd/>
        <w:snapToGrid/>
        <w:spacing w:before="2" w:line="600" w:lineRule="exact"/>
        <w:textAlignment w:val="auto"/>
        <w:rPr>
          <w:rFonts w:hint="default" w:ascii="Times New Roman" w:hAnsi="Times New Roman" w:cs="Times New Roman"/>
        </w:rPr>
      </w:pPr>
      <w:r>
        <w:rPr>
          <w:rFonts w:hint="default" w:ascii="Times New Roman" w:hAnsi="Times New Roman" w:cs="Times New Roman"/>
        </w:rPr>
        <w:t>2、服务地点：广西柳州内采购人指定地点。</w:t>
      </w:r>
    </w:p>
    <w:p w14:paraId="71996342">
      <w:pPr>
        <w:pStyle w:val="2"/>
        <w:keepNext w:val="0"/>
        <w:keepLines w:val="0"/>
        <w:pageBreakBefore w:val="0"/>
        <w:widowControl w:val="0"/>
        <w:kinsoku/>
        <w:wordWrap/>
        <w:overflowPunct/>
        <w:topLinePunct w:val="0"/>
        <w:bidi w:val="0"/>
        <w:adjustRightInd/>
        <w:snapToGrid/>
        <w:spacing w:line="600" w:lineRule="exact"/>
        <w:textAlignment w:val="auto"/>
        <w:rPr>
          <w:rFonts w:hint="eastAsia" w:ascii="黑体" w:eastAsia="黑体"/>
        </w:rPr>
      </w:pPr>
      <w:r>
        <w:rPr>
          <w:rFonts w:hint="eastAsia" w:ascii="黑体" w:eastAsia="黑体"/>
          <w:lang w:eastAsia="zh-CN"/>
        </w:rPr>
        <w:t>（</w:t>
      </w:r>
      <w:r>
        <w:rPr>
          <w:rFonts w:hint="eastAsia" w:ascii="黑体" w:eastAsia="黑体"/>
          <w:lang w:val="en-US" w:eastAsia="zh-CN"/>
        </w:rPr>
        <w:t>四</w:t>
      </w:r>
      <w:r>
        <w:rPr>
          <w:rFonts w:hint="eastAsia" w:ascii="黑体" w:eastAsia="黑体"/>
          <w:lang w:eastAsia="zh-CN"/>
        </w:rPr>
        <w:t>）</w:t>
      </w:r>
      <w:r>
        <w:rPr>
          <w:rFonts w:hint="eastAsia" w:ascii="黑体" w:eastAsia="黑体"/>
        </w:rPr>
        <w:t>其他要求</w:t>
      </w:r>
    </w:p>
    <w:p w14:paraId="13F9BB39">
      <w:pPr>
        <w:pStyle w:val="2"/>
        <w:keepNext w:val="0"/>
        <w:keepLines w:val="0"/>
        <w:pageBreakBefore w:val="0"/>
        <w:widowControl w:val="0"/>
        <w:kinsoku/>
        <w:wordWrap/>
        <w:overflowPunct/>
        <w:topLinePunct w:val="0"/>
        <w:bidi w:val="0"/>
        <w:adjustRightInd/>
        <w:snapToGrid/>
        <w:spacing w:line="600" w:lineRule="exact"/>
        <w:ind w:left="120" w:right="257" w:firstLine="640"/>
        <w:jc w:val="both"/>
        <w:textAlignment w:val="auto"/>
        <w:rPr>
          <w:rFonts w:hint="default" w:ascii="Times New Roman" w:hAnsi="Times New Roman" w:cs="Times New Roman"/>
        </w:rPr>
      </w:pPr>
      <w:r>
        <w:rPr>
          <w:rFonts w:hint="default" w:ascii="Times New Roman" w:hAnsi="Times New Roman" w:cs="Times New Roman"/>
          <w:spacing w:val="6"/>
          <w:w w:val="95"/>
        </w:rPr>
        <w:t xml:space="preserve">1、中标人提供的测评人员必须具有公安部信息安全等 </w:t>
      </w:r>
      <w:r>
        <w:rPr>
          <w:rFonts w:hint="default" w:ascii="Times New Roman" w:hAnsi="Times New Roman" w:cs="Times New Roman"/>
          <w:spacing w:val="-2"/>
          <w:w w:val="95"/>
        </w:rPr>
        <w:t xml:space="preserve">级保护评估中心颁发的《信息安全等级测评师证书》，且常 </w:t>
      </w:r>
      <w:r>
        <w:rPr>
          <w:rFonts w:hint="default" w:ascii="Times New Roman" w:hAnsi="Times New Roman" w:cs="Times New Roman"/>
          <w:spacing w:val="-3"/>
        </w:rPr>
        <w:t>驻在现场测评操作时不得少于四名测评师，分别为一名高级测评师、一名中级测评师和两名初级测评师。</w:t>
      </w:r>
    </w:p>
    <w:p w14:paraId="719BD66C">
      <w:pPr>
        <w:pStyle w:val="2"/>
        <w:keepNext w:val="0"/>
        <w:keepLines w:val="0"/>
        <w:pageBreakBefore w:val="0"/>
        <w:widowControl w:val="0"/>
        <w:kinsoku/>
        <w:wordWrap/>
        <w:overflowPunct/>
        <w:topLinePunct w:val="0"/>
        <w:bidi w:val="0"/>
        <w:adjustRightInd/>
        <w:snapToGrid/>
        <w:spacing w:before="3" w:line="600" w:lineRule="exact"/>
        <w:ind w:left="120" w:right="259" w:firstLine="640"/>
        <w:textAlignment w:val="auto"/>
        <w:rPr>
          <w:rFonts w:hint="default" w:ascii="Times New Roman" w:hAnsi="Times New Roman" w:cs="Times New Roman"/>
        </w:rPr>
      </w:pPr>
      <w:r>
        <w:rPr>
          <w:rFonts w:hint="default" w:ascii="Times New Roman" w:hAnsi="Times New Roman" w:cs="Times New Roman"/>
          <w:spacing w:val="6"/>
          <w:w w:val="95"/>
        </w:rPr>
        <w:t xml:space="preserve">2、投标人如在广西设有常驻的测评技术支持机构提供 </w:t>
      </w:r>
      <w:r>
        <w:rPr>
          <w:rFonts w:hint="default" w:ascii="Times New Roman" w:hAnsi="Times New Roman" w:cs="Times New Roman"/>
          <w:spacing w:val="6"/>
        </w:rPr>
        <w:t>本地化服务，请提供相关证明文件。</w:t>
      </w:r>
    </w:p>
    <w:p w14:paraId="0E0E5D02">
      <w:pPr>
        <w:pStyle w:val="2"/>
        <w:keepNext w:val="0"/>
        <w:keepLines w:val="0"/>
        <w:pageBreakBefore w:val="0"/>
        <w:widowControl w:val="0"/>
        <w:kinsoku/>
        <w:wordWrap/>
        <w:overflowPunct/>
        <w:topLinePunct w:val="0"/>
        <w:bidi w:val="0"/>
        <w:adjustRightInd/>
        <w:snapToGrid/>
        <w:spacing w:before="2" w:line="600" w:lineRule="exact"/>
        <w:textAlignment w:val="auto"/>
        <w:rPr>
          <w:rFonts w:hint="default" w:ascii="Times New Roman" w:hAnsi="Times New Roman" w:cs="Times New Roman"/>
        </w:rPr>
      </w:pPr>
      <w:r>
        <w:rPr>
          <w:rFonts w:hint="default" w:ascii="Times New Roman" w:hAnsi="Times New Roman" w:cs="Times New Roman"/>
        </w:rPr>
        <w:t>3、中标人必须签署相关保密协议，严格遵守协议要求。</w:t>
      </w:r>
    </w:p>
    <w:p w14:paraId="5BBC8E3D">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黑体" w:cs="Times New Roman"/>
          <w:kern w:val="56"/>
          <w:sz w:val="32"/>
          <w:szCs w:val="32"/>
          <w:lang w:val="en-US" w:eastAsia="zh-CN"/>
        </w:rPr>
      </w:pPr>
      <w:r>
        <w:rPr>
          <w:rFonts w:hint="eastAsia" w:ascii="Times New Roman" w:hAnsi="Times New Roman" w:eastAsia="黑体" w:cs="Times New Roman"/>
          <w:kern w:val="56"/>
          <w:sz w:val="32"/>
          <w:szCs w:val="32"/>
          <w:lang w:val="en-US" w:eastAsia="zh-CN"/>
        </w:rPr>
        <w:t>二</w:t>
      </w:r>
      <w:r>
        <w:rPr>
          <w:rFonts w:hint="default" w:ascii="Times New Roman" w:hAnsi="Times New Roman" w:eastAsia="黑体" w:cs="Times New Roman"/>
          <w:kern w:val="56"/>
          <w:sz w:val="32"/>
          <w:szCs w:val="32"/>
        </w:rPr>
        <w:t>、</w:t>
      </w:r>
      <w:r>
        <w:rPr>
          <w:rFonts w:hint="eastAsia" w:ascii="Times New Roman" w:hAnsi="Times New Roman" w:eastAsia="黑体" w:cs="Times New Roman"/>
          <w:kern w:val="56"/>
          <w:sz w:val="32"/>
          <w:szCs w:val="32"/>
          <w:lang w:val="en-US" w:eastAsia="zh-CN"/>
        </w:rPr>
        <w:t>商用密码应用安全性评估</w:t>
      </w:r>
    </w:p>
    <w:p w14:paraId="20289E5C">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eastAsia" w:ascii="楷体" w:hAnsi="楷体" w:eastAsia="楷体" w:cs="楷体"/>
          <w:kern w:val="56"/>
          <w:sz w:val="32"/>
          <w:szCs w:val="32"/>
        </w:rPr>
      </w:pPr>
      <w:r>
        <w:rPr>
          <w:rFonts w:hint="eastAsia" w:ascii="楷体" w:hAnsi="楷体" w:eastAsia="楷体" w:cs="楷体"/>
          <w:kern w:val="56"/>
          <w:sz w:val="32"/>
          <w:szCs w:val="32"/>
        </w:rPr>
        <w:t>（一）总体要求</w:t>
      </w:r>
    </w:p>
    <w:p w14:paraId="690C045B">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依据《信息安全技术信息系统密码应用基本要求》（GB/T 39786-2021）</w:t>
      </w:r>
      <w:r>
        <w:rPr>
          <w:rFonts w:hint="default" w:ascii="Times New Roman" w:hAnsi="Times New Roman" w:eastAsia="仿宋_GB2312" w:cs="Times New Roman"/>
          <w:kern w:val="56"/>
          <w:sz w:val="32"/>
          <w:szCs w:val="32"/>
          <w:lang w:eastAsia="zh-CN"/>
        </w:rPr>
        <w:t>，对</w:t>
      </w:r>
      <w:r>
        <w:rPr>
          <w:rFonts w:hint="default" w:ascii="Times New Roman" w:hAnsi="Times New Roman" w:eastAsia="仿宋_GB2312" w:cs="Times New Roman"/>
          <w:kern w:val="2"/>
          <w:sz w:val="32"/>
          <w:szCs w:val="32"/>
          <w:shd w:val="clear" w:color="auto" w:fill="FFFFFF"/>
          <w:lang w:val="en-US" w:eastAsia="zh-CN" w:bidi="ar-SA"/>
        </w:rPr>
        <w:t>柳州市公立医院绩效考核平台</w:t>
      </w:r>
      <w:r>
        <w:rPr>
          <w:rFonts w:hint="default" w:ascii="Times New Roman" w:hAnsi="Times New Roman" w:eastAsia="仿宋_GB2312" w:cs="Times New Roman"/>
          <w:kern w:val="56"/>
          <w:sz w:val="32"/>
          <w:szCs w:val="32"/>
        </w:rPr>
        <w:t>开展商用密码应用安全性评估工作，并出具商用密码应用安全性评估报告。</w:t>
      </w:r>
    </w:p>
    <w:p w14:paraId="0EAA8D30">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eastAsia" w:ascii="楷体" w:hAnsi="楷体" w:eastAsia="楷体" w:cs="楷体"/>
          <w:kern w:val="56"/>
          <w:sz w:val="32"/>
          <w:szCs w:val="32"/>
        </w:rPr>
      </w:pPr>
      <w:r>
        <w:rPr>
          <w:rFonts w:hint="eastAsia" w:ascii="楷体" w:hAnsi="楷体" w:eastAsia="楷体" w:cs="楷体"/>
          <w:kern w:val="56"/>
          <w:sz w:val="32"/>
          <w:szCs w:val="32"/>
        </w:rPr>
        <w:t>（二）标准依据</w:t>
      </w:r>
    </w:p>
    <w:p w14:paraId="17DE0E99">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1.《计算机信息系统安全保护等级划分准则》（GB 17859-1999</w:t>
      </w:r>
      <w:r>
        <w:rPr>
          <w:rFonts w:hint="default" w:ascii="Times New Roman" w:hAnsi="Times New Roman" w:eastAsia="仿宋_GB2312" w:cs="Times New Roman"/>
          <w:kern w:val="56"/>
          <w:sz w:val="32"/>
          <w:szCs w:val="32"/>
          <w:lang w:eastAsia="zh-CN"/>
        </w:rPr>
        <w:t>）；</w:t>
      </w:r>
    </w:p>
    <w:p w14:paraId="21025084">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2.《信息安全技术 信息系统密码应用基本要求》（GB/T 39786-2021）</w:t>
      </w:r>
      <w:r>
        <w:rPr>
          <w:rFonts w:hint="default" w:ascii="Times New Roman" w:hAnsi="Times New Roman" w:eastAsia="仿宋_GB2312" w:cs="Times New Roman"/>
          <w:kern w:val="56"/>
          <w:sz w:val="32"/>
          <w:szCs w:val="32"/>
          <w:lang w:eastAsia="zh-CN"/>
        </w:rPr>
        <w:t>；</w:t>
      </w:r>
    </w:p>
    <w:p w14:paraId="0BF85C9D">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3.《信息安全技术 信息系统密码应用测评要求》（GB/T 43206-2023）</w:t>
      </w:r>
      <w:r>
        <w:rPr>
          <w:rFonts w:hint="default" w:ascii="Times New Roman" w:hAnsi="Times New Roman" w:eastAsia="仿宋_GB2312" w:cs="Times New Roman"/>
          <w:kern w:val="56"/>
          <w:sz w:val="32"/>
          <w:szCs w:val="32"/>
          <w:lang w:eastAsia="zh-CN"/>
        </w:rPr>
        <w:t>；</w:t>
      </w:r>
    </w:p>
    <w:p w14:paraId="00107754">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4.《信息系统密码应用测评过程指南》（GM/T 0116-2021</w:t>
      </w:r>
      <w:r>
        <w:rPr>
          <w:rFonts w:hint="default" w:ascii="Times New Roman" w:hAnsi="Times New Roman" w:eastAsia="仿宋_GB2312" w:cs="Times New Roman"/>
          <w:kern w:val="56"/>
          <w:sz w:val="32"/>
          <w:szCs w:val="32"/>
          <w:lang w:eastAsia="zh-CN"/>
        </w:rPr>
        <w:t>）；</w:t>
      </w:r>
    </w:p>
    <w:p w14:paraId="1D4DA655">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5.《商用密码应用安全性评估测评实施指引》</w:t>
      </w:r>
      <w:r>
        <w:rPr>
          <w:rFonts w:hint="default" w:ascii="Times New Roman" w:hAnsi="Times New Roman" w:eastAsia="仿宋_GB2312" w:cs="Times New Roman"/>
          <w:kern w:val="56"/>
          <w:sz w:val="32"/>
          <w:szCs w:val="32"/>
          <w:lang w:eastAsia="zh-CN"/>
        </w:rPr>
        <w:t>；</w:t>
      </w:r>
    </w:p>
    <w:p w14:paraId="52DE0DF5">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6.《商用密码应用安全性评估测评工具指引》</w:t>
      </w:r>
      <w:r>
        <w:rPr>
          <w:rFonts w:hint="default" w:ascii="Times New Roman" w:hAnsi="Times New Roman" w:eastAsia="仿宋_GB2312" w:cs="Times New Roman"/>
          <w:kern w:val="56"/>
          <w:sz w:val="32"/>
          <w:szCs w:val="32"/>
          <w:lang w:eastAsia="zh-CN"/>
        </w:rPr>
        <w:t>；</w:t>
      </w:r>
    </w:p>
    <w:p w14:paraId="1F1E9332">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7.《商用密码应用安全性评估量化评估规则》</w:t>
      </w:r>
      <w:r>
        <w:rPr>
          <w:rFonts w:hint="default" w:ascii="Times New Roman" w:hAnsi="Times New Roman" w:eastAsia="仿宋_GB2312" w:cs="Times New Roman"/>
          <w:kern w:val="56"/>
          <w:sz w:val="32"/>
          <w:szCs w:val="32"/>
          <w:lang w:eastAsia="zh-CN"/>
        </w:rPr>
        <w:t>；</w:t>
      </w:r>
    </w:p>
    <w:p w14:paraId="254FB2CA">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8.《信息系统密码应用高风险判定指引》</w:t>
      </w:r>
      <w:r>
        <w:rPr>
          <w:rFonts w:hint="default" w:ascii="Times New Roman" w:hAnsi="Times New Roman" w:eastAsia="仿宋_GB2312" w:cs="Times New Roman"/>
          <w:kern w:val="56"/>
          <w:sz w:val="32"/>
          <w:szCs w:val="32"/>
          <w:lang w:eastAsia="zh-CN"/>
        </w:rPr>
        <w:t>；</w:t>
      </w:r>
    </w:p>
    <w:p w14:paraId="7E0E8065">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default" w:ascii="Times New Roman" w:hAnsi="Times New Roman" w:eastAsia="仿宋_GB2312" w:cs="Times New Roman"/>
          <w:kern w:val="56"/>
          <w:sz w:val="32"/>
          <w:szCs w:val="32"/>
        </w:rPr>
        <w:t>9.《商用密码应用安全性评估FAQ》（第四版）</w:t>
      </w:r>
      <w:r>
        <w:rPr>
          <w:rFonts w:hint="default" w:ascii="Times New Roman" w:hAnsi="Times New Roman" w:eastAsia="仿宋_GB2312" w:cs="Times New Roman"/>
          <w:kern w:val="56"/>
          <w:sz w:val="32"/>
          <w:szCs w:val="32"/>
          <w:lang w:eastAsia="zh-CN"/>
        </w:rPr>
        <w:t>。</w:t>
      </w:r>
    </w:p>
    <w:p w14:paraId="15732519">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eastAsia" w:ascii="楷体" w:hAnsi="楷体" w:eastAsia="楷体" w:cs="楷体"/>
          <w:kern w:val="56"/>
          <w:sz w:val="32"/>
          <w:szCs w:val="32"/>
        </w:rPr>
      </w:pPr>
      <w:r>
        <w:rPr>
          <w:rFonts w:hint="eastAsia" w:ascii="楷体" w:hAnsi="楷体" w:eastAsia="楷体" w:cs="楷体"/>
          <w:kern w:val="56"/>
          <w:sz w:val="32"/>
          <w:szCs w:val="32"/>
        </w:rPr>
        <w:t>（三）测评内容</w:t>
      </w:r>
    </w:p>
    <w:p w14:paraId="2F60832A">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lang w:val="en-US" w:eastAsia="zh-CN"/>
        </w:rPr>
        <w:t>1.</w:t>
      </w:r>
      <w:r>
        <w:rPr>
          <w:rFonts w:hint="default" w:ascii="Times New Roman" w:hAnsi="Times New Roman" w:eastAsia="仿宋_GB2312" w:cs="Times New Roman"/>
          <w:kern w:val="56"/>
          <w:sz w:val="32"/>
          <w:szCs w:val="32"/>
        </w:rPr>
        <w:t>密码技术应用测评要求</w:t>
      </w:r>
    </w:p>
    <w:p w14:paraId="1112A221">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从物理和环境安全、网络和通信安全、设备和计算安全、应用和数据安全4个层面对信息系统中商用密码应用的合规性、正确性、有效性进行安全性评估。</w:t>
      </w:r>
    </w:p>
    <w:p w14:paraId="295B8F62">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物理和环境安全层面测评要求：通过访谈、文档审查、实地查看、配置检查、工具测试等方法，对物理和环境层面的身份鉴别、电子门禁记录数据存储完整性进行评估。</w:t>
      </w:r>
    </w:p>
    <w:p w14:paraId="6AA3D67A">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网络和通信安全层面测评要求：通过访谈、文档审查、实地查看、配置检查、工具测试等方法，对网络和通信层面的身份鉴别、通信数据完整性、通信过程中重要数据的机密性、网络边界访问控制信息的完整性进行评估。</w:t>
      </w:r>
    </w:p>
    <w:p w14:paraId="42852C0E">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设备和计算安全层面测评要求：通过访谈、文档审查、实地查看、配置检查、工具测试等方法，对设备和计算层面的身份鉴别、系统资源访问控制信息完整性、日志记录完整性进行评估。</w:t>
      </w:r>
    </w:p>
    <w:p w14:paraId="41B7193F">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应用和数据安全层面测评要求：通过访谈、文档审查、实地查看、配置检查、工具测试等方法，对应用和数据层面的身份鉴别、访问控制信息完整性、重要数据传输机密性、重要数据存储机密性、重要数据传输完整性、重要数据存储完整性、不可否认性进行评估。</w:t>
      </w:r>
    </w:p>
    <w:p w14:paraId="4B1C8FB9">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eastAsia" w:ascii="Times New Roman" w:hAnsi="Times New Roman" w:cs="Times New Roman"/>
          <w:kern w:val="56"/>
          <w:sz w:val="32"/>
          <w:szCs w:val="32"/>
          <w:lang w:val="en-US" w:eastAsia="zh-CN"/>
        </w:rPr>
        <w:t>2.</w:t>
      </w:r>
      <w:r>
        <w:rPr>
          <w:rFonts w:hint="default" w:ascii="Times New Roman" w:hAnsi="Times New Roman" w:eastAsia="仿宋_GB2312" w:cs="Times New Roman"/>
          <w:kern w:val="56"/>
          <w:sz w:val="32"/>
          <w:szCs w:val="32"/>
        </w:rPr>
        <w:t>安全管理测评要求</w:t>
      </w:r>
    </w:p>
    <w:p w14:paraId="5F5CEDFA">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管理制度层面：通过访谈、文档审查，对密码应用安全管理制度</w:t>
      </w:r>
      <w:r>
        <w:rPr>
          <w:rFonts w:hint="default" w:ascii="Times New Roman" w:hAnsi="Times New Roman" w:eastAsia="仿宋_GB2312" w:cs="Times New Roman"/>
          <w:kern w:val="56"/>
          <w:sz w:val="32"/>
          <w:szCs w:val="32"/>
          <w:lang w:val="en-US" w:eastAsia="zh-CN"/>
        </w:rPr>
        <w:t>是否包括密码人员管理、密钥管理、建设运行、应急处置、密码软硬件及介质管理等制度</w:t>
      </w:r>
      <w:r>
        <w:rPr>
          <w:rFonts w:hint="default" w:ascii="Times New Roman" w:hAnsi="Times New Roman" w:eastAsia="仿宋_GB2312" w:cs="Times New Roman"/>
          <w:kern w:val="56"/>
          <w:sz w:val="32"/>
          <w:szCs w:val="32"/>
        </w:rPr>
        <w:t>、</w:t>
      </w:r>
      <w:r>
        <w:rPr>
          <w:rFonts w:hint="default" w:ascii="Times New Roman" w:hAnsi="Times New Roman" w:eastAsia="仿宋_GB2312" w:cs="Times New Roman"/>
          <w:kern w:val="56"/>
          <w:sz w:val="32"/>
          <w:szCs w:val="32"/>
          <w:lang w:val="en-US" w:eastAsia="zh-CN"/>
        </w:rPr>
        <w:t>是否根据密码应用方案建立相应密钥管理规则</w:t>
      </w:r>
      <w:r>
        <w:rPr>
          <w:rFonts w:hint="default" w:ascii="Times New Roman" w:hAnsi="Times New Roman" w:eastAsia="仿宋_GB2312" w:cs="Times New Roman"/>
          <w:kern w:val="56"/>
          <w:sz w:val="32"/>
          <w:szCs w:val="32"/>
        </w:rPr>
        <w:t>、</w:t>
      </w:r>
      <w:r>
        <w:rPr>
          <w:rFonts w:hint="default" w:ascii="Times New Roman" w:hAnsi="Times New Roman" w:eastAsia="仿宋_GB2312" w:cs="Times New Roman"/>
          <w:kern w:val="56"/>
          <w:sz w:val="32"/>
          <w:szCs w:val="32"/>
          <w:lang w:val="en-US" w:eastAsia="zh-CN"/>
        </w:rPr>
        <w:t>是否对管理人员或操作人员执行的日常管理操作建立操作规程等内容</w:t>
      </w:r>
      <w:r>
        <w:rPr>
          <w:rFonts w:hint="default" w:ascii="Times New Roman" w:hAnsi="Times New Roman" w:eastAsia="仿宋_GB2312" w:cs="Times New Roman"/>
          <w:kern w:val="56"/>
          <w:sz w:val="32"/>
          <w:szCs w:val="32"/>
        </w:rPr>
        <w:t>进行评估。</w:t>
      </w:r>
    </w:p>
    <w:p w14:paraId="01F9A47D">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人员管理层面：通过访谈、文档审查，</w:t>
      </w:r>
      <w:r>
        <w:rPr>
          <w:rFonts w:hint="default" w:ascii="Times New Roman" w:hAnsi="Times New Roman" w:eastAsia="仿宋_GB2312" w:cs="Times New Roman"/>
          <w:kern w:val="56"/>
          <w:sz w:val="32"/>
          <w:szCs w:val="32"/>
          <w:lang w:val="en-US" w:eastAsia="zh-CN"/>
        </w:rPr>
        <w:t>对人员</w:t>
      </w:r>
      <w:r>
        <w:rPr>
          <w:rFonts w:hint="default" w:ascii="Times New Roman" w:hAnsi="Times New Roman" w:eastAsia="仿宋_GB2312" w:cs="Times New Roman"/>
          <w:kern w:val="56"/>
          <w:sz w:val="32"/>
          <w:szCs w:val="32"/>
        </w:rPr>
        <w:t>是否相关人员应了解并遵守密码相关法律法规</w:t>
      </w:r>
      <w:r>
        <w:rPr>
          <w:rFonts w:hint="default" w:ascii="Times New Roman" w:hAnsi="Times New Roman" w:eastAsia="仿宋_GB2312" w:cs="Times New Roman"/>
          <w:kern w:val="56"/>
          <w:sz w:val="32"/>
          <w:szCs w:val="32"/>
          <w:lang w:val="en-US" w:eastAsia="zh-CN"/>
        </w:rPr>
        <w:t>及</w:t>
      </w:r>
      <w:r>
        <w:rPr>
          <w:rFonts w:hint="default" w:ascii="Times New Roman" w:hAnsi="Times New Roman" w:eastAsia="仿宋_GB2312" w:cs="Times New Roman"/>
          <w:kern w:val="56"/>
          <w:sz w:val="32"/>
          <w:szCs w:val="32"/>
        </w:rPr>
        <w:t>密码应用安全管理制度</w:t>
      </w:r>
      <w:r>
        <w:rPr>
          <w:rFonts w:hint="default" w:ascii="Times New Roman" w:hAnsi="Times New Roman" w:eastAsia="仿宋_GB2312" w:cs="Times New Roman"/>
          <w:kern w:val="56"/>
          <w:sz w:val="32"/>
          <w:szCs w:val="32"/>
          <w:lang w:eastAsia="zh-CN"/>
        </w:rPr>
        <w:t>、</w:t>
      </w:r>
      <w:r>
        <w:rPr>
          <w:rFonts w:hint="default" w:ascii="Times New Roman" w:hAnsi="Times New Roman" w:eastAsia="仿宋_GB2312" w:cs="Times New Roman"/>
          <w:kern w:val="56"/>
          <w:sz w:val="32"/>
          <w:szCs w:val="32"/>
        </w:rPr>
        <w:t>是否建立密码应用岗位责任制度</w:t>
      </w:r>
      <w:r>
        <w:rPr>
          <w:rFonts w:hint="default" w:ascii="Times New Roman" w:hAnsi="Times New Roman" w:eastAsia="仿宋_GB2312" w:cs="Times New Roman"/>
          <w:kern w:val="56"/>
          <w:sz w:val="32"/>
          <w:szCs w:val="32"/>
          <w:lang w:val="en-US" w:eastAsia="zh-CN"/>
        </w:rPr>
        <w:t>并</w:t>
      </w:r>
      <w:r>
        <w:rPr>
          <w:rFonts w:hint="default" w:ascii="Times New Roman" w:hAnsi="Times New Roman" w:eastAsia="仿宋_GB2312" w:cs="Times New Roman"/>
          <w:kern w:val="56"/>
          <w:sz w:val="32"/>
          <w:szCs w:val="32"/>
        </w:rPr>
        <w:t>明确各岗位在安全系统中的职责和权限、</w:t>
      </w:r>
      <w:r>
        <w:rPr>
          <w:rFonts w:hint="default" w:ascii="Times New Roman" w:hAnsi="Times New Roman" w:eastAsia="仿宋_GB2312" w:cs="Times New Roman"/>
          <w:kern w:val="56"/>
          <w:sz w:val="32"/>
          <w:szCs w:val="32"/>
          <w:lang w:val="en-US" w:eastAsia="zh-CN"/>
        </w:rPr>
        <w:t>是否建立上岗人员培训制度并对涉及密码的操作和管理的人员进行专门培训确保其具备岗位所需专业技能</w:t>
      </w:r>
      <w:r>
        <w:rPr>
          <w:rFonts w:hint="default" w:ascii="Times New Roman" w:hAnsi="Times New Roman" w:eastAsia="仿宋_GB2312" w:cs="Times New Roman"/>
          <w:kern w:val="56"/>
          <w:sz w:val="32"/>
          <w:szCs w:val="32"/>
          <w:lang w:eastAsia="zh-CN"/>
        </w:rPr>
        <w:t>、</w:t>
      </w:r>
      <w:r>
        <w:rPr>
          <w:rFonts w:hint="default" w:ascii="Times New Roman" w:hAnsi="Times New Roman" w:eastAsia="仿宋_GB2312" w:cs="Times New Roman"/>
          <w:kern w:val="56"/>
          <w:sz w:val="32"/>
          <w:szCs w:val="32"/>
        </w:rPr>
        <w:t>是否建立关键人员保密制度和调离制度</w:t>
      </w:r>
      <w:r>
        <w:rPr>
          <w:rFonts w:hint="default" w:ascii="Times New Roman" w:hAnsi="Times New Roman" w:eastAsia="仿宋_GB2312" w:cs="Times New Roman"/>
          <w:kern w:val="56"/>
          <w:sz w:val="32"/>
          <w:szCs w:val="32"/>
          <w:lang w:val="en-US" w:eastAsia="zh-CN"/>
        </w:rPr>
        <w:t>并</w:t>
      </w:r>
      <w:r>
        <w:rPr>
          <w:rFonts w:hint="default" w:ascii="Times New Roman" w:hAnsi="Times New Roman" w:eastAsia="仿宋_GB2312" w:cs="Times New Roman"/>
          <w:kern w:val="56"/>
          <w:sz w:val="32"/>
          <w:szCs w:val="32"/>
        </w:rPr>
        <w:t>签订保密合同承担保密义务</w:t>
      </w:r>
      <w:r>
        <w:rPr>
          <w:rFonts w:hint="default" w:ascii="Times New Roman" w:hAnsi="Times New Roman" w:eastAsia="仿宋_GB2312" w:cs="Times New Roman"/>
          <w:kern w:val="56"/>
          <w:sz w:val="32"/>
          <w:szCs w:val="32"/>
          <w:lang w:val="en-US" w:eastAsia="zh-CN"/>
        </w:rPr>
        <w:t>等内容</w:t>
      </w:r>
      <w:r>
        <w:rPr>
          <w:rFonts w:hint="default" w:ascii="Times New Roman" w:hAnsi="Times New Roman" w:eastAsia="仿宋_GB2312" w:cs="Times New Roman"/>
          <w:kern w:val="56"/>
          <w:sz w:val="32"/>
          <w:szCs w:val="32"/>
        </w:rPr>
        <w:t>进行评估。</w:t>
      </w:r>
    </w:p>
    <w:p w14:paraId="04CC82F8">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建设运行层面：通过访谈、文档审查，</w:t>
      </w:r>
      <w:r>
        <w:rPr>
          <w:rFonts w:hint="default" w:ascii="Times New Roman" w:hAnsi="Times New Roman" w:eastAsia="仿宋_GB2312" w:cs="Times New Roman"/>
          <w:kern w:val="56"/>
          <w:sz w:val="32"/>
          <w:szCs w:val="32"/>
          <w:lang w:val="en-US" w:eastAsia="zh-CN"/>
        </w:rPr>
        <w:t>对是否</w:t>
      </w:r>
      <w:r>
        <w:rPr>
          <w:rFonts w:hint="default" w:ascii="Times New Roman" w:hAnsi="Times New Roman" w:eastAsia="仿宋_GB2312" w:cs="Times New Roman"/>
          <w:kern w:val="56"/>
          <w:sz w:val="32"/>
          <w:szCs w:val="32"/>
        </w:rPr>
        <w:t>依据密码相关标准和密码应用需求制定密码应用方案、</w:t>
      </w:r>
      <w:r>
        <w:rPr>
          <w:rFonts w:hint="default" w:ascii="Times New Roman" w:hAnsi="Times New Roman" w:eastAsia="仿宋_GB2312" w:cs="Times New Roman"/>
          <w:kern w:val="56"/>
          <w:sz w:val="32"/>
          <w:szCs w:val="32"/>
          <w:lang w:val="en-US" w:eastAsia="zh-CN"/>
        </w:rPr>
        <w:t>是否</w:t>
      </w:r>
      <w:r>
        <w:rPr>
          <w:rFonts w:hint="default" w:ascii="Times New Roman" w:hAnsi="Times New Roman" w:eastAsia="仿宋_GB2312" w:cs="Times New Roman"/>
          <w:kern w:val="56"/>
          <w:sz w:val="32"/>
          <w:szCs w:val="32"/>
        </w:rPr>
        <w:t>根据密码应用方案确定系统涉及的密钥种类体系及其生存周期环节</w:t>
      </w:r>
      <w:r>
        <w:rPr>
          <w:rFonts w:hint="default" w:ascii="Times New Roman" w:hAnsi="Times New Roman" w:eastAsia="仿宋_GB2312" w:cs="Times New Roman"/>
          <w:kern w:val="56"/>
          <w:sz w:val="32"/>
          <w:szCs w:val="32"/>
          <w:lang w:val="en-US" w:eastAsia="zh-CN"/>
        </w:rPr>
        <w:t>的管理要求</w:t>
      </w:r>
      <w:r>
        <w:rPr>
          <w:rFonts w:hint="default" w:ascii="Times New Roman" w:hAnsi="Times New Roman" w:eastAsia="仿宋_GB2312" w:cs="Times New Roman"/>
          <w:kern w:val="56"/>
          <w:sz w:val="32"/>
          <w:szCs w:val="32"/>
          <w:lang w:eastAsia="zh-CN"/>
        </w:rPr>
        <w:t>、</w:t>
      </w:r>
      <w:r>
        <w:rPr>
          <w:rFonts w:hint="default" w:ascii="Times New Roman" w:hAnsi="Times New Roman" w:eastAsia="仿宋_GB2312" w:cs="Times New Roman"/>
          <w:kern w:val="56"/>
          <w:sz w:val="32"/>
          <w:szCs w:val="32"/>
          <w:lang w:val="en-US" w:eastAsia="zh-CN"/>
        </w:rPr>
        <w:t>是否按照应用方案实施建设、是否在投入运行前进行密码应用安全性评估等内容</w:t>
      </w:r>
      <w:r>
        <w:rPr>
          <w:rFonts w:hint="default" w:ascii="Times New Roman" w:hAnsi="Times New Roman" w:eastAsia="仿宋_GB2312" w:cs="Times New Roman"/>
          <w:kern w:val="56"/>
          <w:sz w:val="32"/>
          <w:szCs w:val="32"/>
        </w:rPr>
        <w:t>进行评估。</w:t>
      </w:r>
    </w:p>
    <w:p w14:paraId="0CA6E251">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val="en-US" w:eastAsia="zh-CN"/>
        </w:rPr>
      </w:pPr>
      <w:r>
        <w:rPr>
          <w:rFonts w:hint="default" w:ascii="Times New Roman" w:hAnsi="Times New Roman" w:eastAsia="仿宋_GB2312" w:cs="Times New Roman"/>
          <w:kern w:val="56"/>
          <w:sz w:val="32"/>
          <w:szCs w:val="32"/>
        </w:rPr>
        <w:t>应急处置层面：通过访谈、文档审查、</w:t>
      </w:r>
      <w:r>
        <w:rPr>
          <w:rFonts w:hint="default" w:ascii="Times New Roman" w:hAnsi="Times New Roman" w:eastAsia="仿宋_GB2312" w:cs="Times New Roman"/>
          <w:kern w:val="56"/>
          <w:sz w:val="32"/>
          <w:szCs w:val="32"/>
          <w:lang w:val="en-US" w:eastAsia="zh-CN"/>
        </w:rPr>
        <w:t>对是否制定密码应用应急策略，做好应急资源准备，当密码应用安全事件发生时，按照处置措施结合实际情况及时处置等内容进行评估。</w:t>
      </w:r>
    </w:p>
    <w:p w14:paraId="5AE912EE">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eastAsia" w:ascii="楷体" w:hAnsi="楷体" w:eastAsia="楷体" w:cs="楷体"/>
          <w:b/>
          <w:bCs/>
          <w:kern w:val="56"/>
          <w:sz w:val="32"/>
          <w:szCs w:val="32"/>
        </w:rPr>
      </w:pPr>
      <w:r>
        <w:rPr>
          <w:rFonts w:hint="eastAsia" w:ascii="楷体" w:hAnsi="楷体" w:eastAsia="楷体" w:cs="楷体"/>
          <w:kern w:val="56"/>
          <w:sz w:val="32"/>
          <w:szCs w:val="32"/>
          <w:lang w:eastAsia="zh-CN"/>
        </w:rPr>
        <w:t>（</w:t>
      </w:r>
      <w:r>
        <w:rPr>
          <w:rFonts w:hint="eastAsia" w:ascii="楷体" w:hAnsi="楷体" w:eastAsia="楷体" w:cs="楷体"/>
          <w:kern w:val="56"/>
          <w:sz w:val="32"/>
          <w:szCs w:val="32"/>
          <w:lang w:val="en-US" w:eastAsia="zh-CN"/>
        </w:rPr>
        <w:t>三</w:t>
      </w:r>
      <w:r>
        <w:rPr>
          <w:rFonts w:hint="eastAsia" w:ascii="楷体" w:hAnsi="楷体" w:eastAsia="楷体" w:cs="楷体"/>
          <w:kern w:val="56"/>
          <w:sz w:val="32"/>
          <w:szCs w:val="32"/>
          <w:lang w:eastAsia="zh-CN"/>
        </w:rPr>
        <w:t>）</w:t>
      </w:r>
      <w:r>
        <w:rPr>
          <w:rFonts w:hint="eastAsia" w:ascii="楷体" w:hAnsi="楷体" w:eastAsia="楷体" w:cs="楷体"/>
          <w:kern w:val="56"/>
          <w:sz w:val="32"/>
          <w:szCs w:val="32"/>
        </w:rPr>
        <w:t>成果交付时间</w:t>
      </w:r>
    </w:p>
    <w:p w14:paraId="24E79E2D">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自合同签订之日起</w:t>
      </w:r>
      <w:r>
        <w:rPr>
          <w:rFonts w:hint="eastAsia" w:ascii="Times New Roman" w:hAnsi="Times New Roman" w:cs="Times New Roman"/>
          <w:kern w:val="56"/>
          <w:sz w:val="32"/>
          <w:szCs w:val="32"/>
          <w:lang w:val="en-US" w:eastAsia="zh-CN"/>
        </w:rPr>
        <w:t>45个工作日内</w:t>
      </w:r>
      <w:bookmarkStart w:id="0" w:name="_GoBack"/>
      <w:bookmarkEnd w:id="0"/>
      <w:r>
        <w:rPr>
          <w:rFonts w:hint="default" w:ascii="Times New Roman" w:hAnsi="Times New Roman" w:eastAsia="仿宋_GB2312" w:cs="Times New Roman"/>
          <w:kern w:val="56"/>
          <w:sz w:val="32"/>
          <w:szCs w:val="32"/>
        </w:rPr>
        <w:t>。</w:t>
      </w:r>
    </w:p>
    <w:p w14:paraId="0B5909B6">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eastAsia" w:ascii="楷体" w:hAnsi="楷体" w:eastAsia="楷体" w:cs="楷体"/>
          <w:kern w:val="56"/>
          <w:sz w:val="32"/>
          <w:szCs w:val="32"/>
        </w:rPr>
      </w:pPr>
      <w:r>
        <w:rPr>
          <w:rFonts w:hint="eastAsia" w:ascii="楷体" w:hAnsi="楷体" w:eastAsia="楷体" w:cs="楷体"/>
          <w:kern w:val="56"/>
          <w:sz w:val="32"/>
          <w:szCs w:val="32"/>
          <w:lang w:eastAsia="zh-CN"/>
        </w:rPr>
        <w:t>（</w:t>
      </w:r>
      <w:r>
        <w:rPr>
          <w:rFonts w:hint="eastAsia" w:ascii="楷体" w:hAnsi="楷体" w:eastAsia="楷体" w:cs="楷体"/>
          <w:kern w:val="56"/>
          <w:sz w:val="32"/>
          <w:szCs w:val="32"/>
          <w:lang w:val="en-US" w:eastAsia="zh-CN"/>
        </w:rPr>
        <w:t>四</w:t>
      </w:r>
      <w:r>
        <w:rPr>
          <w:rFonts w:hint="eastAsia" w:ascii="楷体" w:hAnsi="楷体" w:eastAsia="楷体" w:cs="楷体"/>
          <w:kern w:val="56"/>
          <w:sz w:val="32"/>
          <w:szCs w:val="32"/>
          <w:lang w:eastAsia="zh-CN"/>
        </w:rPr>
        <w:t>）</w:t>
      </w:r>
      <w:r>
        <w:rPr>
          <w:rFonts w:hint="eastAsia" w:ascii="楷体" w:hAnsi="楷体" w:eastAsia="楷体" w:cs="楷体"/>
          <w:kern w:val="56"/>
          <w:sz w:val="32"/>
          <w:szCs w:val="32"/>
        </w:rPr>
        <w:t>成果交付要求</w:t>
      </w:r>
    </w:p>
    <w:p w14:paraId="611E6E16">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eastAsia" w:ascii="Times New Roman" w:hAnsi="Times New Roman" w:cs="Times New Roman"/>
          <w:kern w:val="56"/>
          <w:sz w:val="32"/>
          <w:szCs w:val="32"/>
          <w:lang w:val="en-US" w:eastAsia="zh-CN"/>
        </w:rPr>
        <w:t>1.</w:t>
      </w:r>
      <w:r>
        <w:rPr>
          <w:rFonts w:hint="default" w:ascii="Times New Roman" w:hAnsi="Times New Roman" w:eastAsia="仿宋_GB2312" w:cs="Times New Roman"/>
          <w:kern w:val="56"/>
          <w:sz w:val="32"/>
          <w:szCs w:val="32"/>
        </w:rPr>
        <w:t>出具符合《信息安全技术 信息系统密码应用测评要求》（GB/T 43206-2023）相关技术标准要求和国家密码管理局规范要求的盖章纸质版及电子版《系统商用密码应用安全性评估报告》</w:t>
      </w:r>
      <w:r>
        <w:rPr>
          <w:rFonts w:hint="default" w:ascii="Times New Roman" w:hAnsi="Times New Roman" w:eastAsia="仿宋_GB2312" w:cs="Times New Roman"/>
          <w:kern w:val="56"/>
          <w:sz w:val="32"/>
          <w:szCs w:val="32"/>
          <w:lang w:eastAsia="zh-CN"/>
        </w:rPr>
        <w:t>。</w:t>
      </w:r>
    </w:p>
    <w:p w14:paraId="4EEAD2D4">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eastAsia" w:ascii="Times New Roman" w:hAnsi="Times New Roman" w:cs="Times New Roman"/>
          <w:kern w:val="56"/>
          <w:sz w:val="32"/>
          <w:szCs w:val="32"/>
          <w:lang w:val="en-US" w:eastAsia="zh-CN"/>
        </w:rPr>
        <w:t>2.</w:t>
      </w:r>
      <w:r>
        <w:rPr>
          <w:rFonts w:hint="default" w:ascii="Times New Roman" w:hAnsi="Times New Roman" w:eastAsia="仿宋_GB2312" w:cs="Times New Roman"/>
          <w:kern w:val="56"/>
          <w:sz w:val="32"/>
          <w:szCs w:val="32"/>
        </w:rPr>
        <w:t>初次测评所发现的问题清单及整改建议、整改后复测记录</w:t>
      </w:r>
      <w:r>
        <w:rPr>
          <w:rFonts w:hint="default" w:ascii="Times New Roman" w:hAnsi="Times New Roman" w:eastAsia="仿宋_GB2312" w:cs="Times New Roman"/>
          <w:kern w:val="56"/>
          <w:sz w:val="32"/>
          <w:szCs w:val="32"/>
          <w:lang w:eastAsia="zh-CN"/>
        </w:rPr>
        <w:t>。</w:t>
      </w:r>
    </w:p>
    <w:p w14:paraId="7952B580">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eastAsia" w:ascii="Times New Roman" w:hAnsi="Times New Roman" w:cs="Times New Roman"/>
          <w:kern w:val="56"/>
          <w:sz w:val="32"/>
          <w:szCs w:val="32"/>
          <w:lang w:val="en-US" w:eastAsia="zh-CN"/>
        </w:rPr>
        <w:t>3.</w:t>
      </w:r>
      <w:r>
        <w:rPr>
          <w:rFonts w:hint="default" w:ascii="Times New Roman" w:hAnsi="Times New Roman" w:eastAsia="仿宋_GB2312" w:cs="Times New Roman"/>
          <w:kern w:val="56"/>
          <w:sz w:val="32"/>
          <w:szCs w:val="32"/>
        </w:rPr>
        <w:t>向</w:t>
      </w:r>
      <w:r>
        <w:rPr>
          <w:rFonts w:hint="default" w:ascii="Times New Roman" w:hAnsi="Times New Roman" w:eastAsia="仿宋_GB2312" w:cs="Times New Roman"/>
          <w:kern w:val="56"/>
          <w:sz w:val="32"/>
          <w:szCs w:val="32"/>
          <w:lang w:val="en-US" w:eastAsia="zh-CN"/>
        </w:rPr>
        <w:t>柳州市密码管理局申请</w:t>
      </w:r>
      <w:r>
        <w:rPr>
          <w:rFonts w:hint="default" w:ascii="Times New Roman" w:hAnsi="Times New Roman" w:eastAsia="仿宋_GB2312" w:cs="Times New Roman"/>
          <w:kern w:val="56"/>
          <w:sz w:val="32"/>
          <w:szCs w:val="32"/>
        </w:rPr>
        <w:t>商用密码应用安全性评估结果备案所需的附件材料（商用密码应用安全性评估结果备案申请书、网络与信息系统密评备案信息表）</w:t>
      </w:r>
      <w:r>
        <w:rPr>
          <w:rFonts w:hint="default" w:ascii="Times New Roman" w:hAnsi="Times New Roman" w:eastAsia="仿宋_GB2312" w:cs="Times New Roman"/>
          <w:kern w:val="56"/>
          <w:sz w:val="32"/>
          <w:szCs w:val="32"/>
          <w:lang w:eastAsia="zh-CN"/>
        </w:rPr>
        <w:t>，</w:t>
      </w:r>
      <w:r>
        <w:rPr>
          <w:rFonts w:hint="default" w:ascii="Times New Roman" w:hAnsi="Times New Roman" w:eastAsia="仿宋_GB2312" w:cs="Times New Roman"/>
          <w:kern w:val="56"/>
          <w:sz w:val="32"/>
          <w:szCs w:val="32"/>
          <w:lang w:val="en-US" w:eastAsia="zh-CN"/>
        </w:rPr>
        <w:t>并协助取得</w:t>
      </w:r>
      <w:r>
        <w:rPr>
          <w:rFonts w:hint="default" w:ascii="Times New Roman" w:hAnsi="Times New Roman" w:eastAsia="仿宋_GB2312" w:cs="Times New Roman"/>
          <w:kern w:val="56"/>
          <w:sz w:val="32"/>
          <w:szCs w:val="32"/>
        </w:rPr>
        <w:t>商用密码应用安全性评估结果</w:t>
      </w:r>
      <w:r>
        <w:rPr>
          <w:rFonts w:hint="default" w:ascii="Times New Roman" w:hAnsi="Times New Roman" w:eastAsia="仿宋_GB2312" w:cs="Times New Roman"/>
          <w:kern w:val="56"/>
          <w:sz w:val="32"/>
          <w:szCs w:val="32"/>
          <w:lang w:val="en-US" w:eastAsia="zh-CN"/>
        </w:rPr>
        <w:t>回执</w:t>
      </w:r>
      <w:r>
        <w:rPr>
          <w:rFonts w:hint="default" w:ascii="Times New Roman" w:hAnsi="Times New Roman" w:eastAsia="仿宋_GB2312" w:cs="Times New Roman"/>
          <w:kern w:val="56"/>
          <w:sz w:val="32"/>
          <w:szCs w:val="32"/>
          <w:lang w:eastAsia="zh-CN"/>
        </w:rPr>
        <w:t>。</w:t>
      </w:r>
    </w:p>
    <w:p w14:paraId="3845DD29">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jc w:val="left"/>
        <w:textAlignment w:val="auto"/>
        <w:rPr>
          <w:rFonts w:hint="default" w:ascii="Times New Roman" w:hAnsi="Times New Roman" w:eastAsia="仿宋_GB2312" w:cs="Times New Roman"/>
          <w:kern w:val="56"/>
          <w:sz w:val="32"/>
          <w:szCs w:val="32"/>
          <w:lang w:eastAsia="zh-CN"/>
        </w:rPr>
      </w:pPr>
      <w:r>
        <w:rPr>
          <w:rFonts w:hint="eastAsia" w:ascii="Times New Roman" w:hAnsi="Times New Roman" w:cs="Times New Roman"/>
          <w:kern w:val="56"/>
          <w:sz w:val="32"/>
          <w:szCs w:val="32"/>
          <w:lang w:val="en-US" w:eastAsia="zh-CN"/>
        </w:rPr>
        <w:t>4.</w:t>
      </w:r>
      <w:r>
        <w:rPr>
          <w:rFonts w:hint="default" w:ascii="Times New Roman" w:hAnsi="Times New Roman" w:eastAsia="仿宋_GB2312" w:cs="Times New Roman"/>
          <w:kern w:val="56"/>
          <w:sz w:val="32"/>
          <w:szCs w:val="32"/>
        </w:rPr>
        <w:t>项目过程文档（测评记录及现场取证材料）</w:t>
      </w:r>
      <w:r>
        <w:rPr>
          <w:rFonts w:hint="default" w:ascii="Times New Roman" w:hAnsi="Times New Roman" w:eastAsia="仿宋_GB2312" w:cs="Times New Roman"/>
          <w:kern w:val="56"/>
          <w:sz w:val="32"/>
          <w:szCs w:val="32"/>
          <w:lang w:eastAsia="zh-CN"/>
        </w:rPr>
        <w:t>。</w:t>
      </w:r>
    </w:p>
    <w:p w14:paraId="3F8F8C50">
      <w:pPr>
        <w:keepNext w:val="0"/>
        <w:keepLines w:val="0"/>
        <w:pageBreakBefore w:val="0"/>
        <w:widowControl w:val="0"/>
        <w:kinsoku/>
        <w:wordWrap/>
        <w:overflowPunct/>
        <w:topLinePunct w:val="0"/>
        <w:autoSpaceDE/>
        <w:autoSpaceDN/>
        <w:bidi w:val="0"/>
        <w:adjustRightInd/>
        <w:snapToGrid/>
        <w:spacing w:beforeAutospacing="0" w:line="600" w:lineRule="exact"/>
        <w:ind w:firstLine="643" w:firstLineChars="200"/>
        <w:jc w:val="left"/>
        <w:textAlignment w:val="auto"/>
        <w:rPr>
          <w:rFonts w:hint="eastAsia" w:ascii="楷体" w:hAnsi="楷体" w:eastAsia="楷体" w:cs="楷体"/>
          <w:kern w:val="56"/>
          <w:sz w:val="32"/>
          <w:szCs w:val="32"/>
        </w:rPr>
      </w:pPr>
      <w:r>
        <w:rPr>
          <w:rFonts w:hint="eastAsia" w:ascii="楷体" w:hAnsi="楷体" w:eastAsia="楷体" w:cs="楷体"/>
          <w:b/>
          <w:bCs/>
          <w:kern w:val="56"/>
          <w:sz w:val="32"/>
          <w:szCs w:val="32"/>
          <w:lang w:eastAsia="zh-CN"/>
        </w:rPr>
        <w:t>（</w:t>
      </w:r>
      <w:r>
        <w:rPr>
          <w:rFonts w:hint="eastAsia" w:ascii="楷体" w:hAnsi="楷体" w:eastAsia="楷体" w:cs="楷体"/>
          <w:b/>
          <w:bCs/>
          <w:kern w:val="56"/>
          <w:sz w:val="32"/>
          <w:szCs w:val="32"/>
          <w:lang w:val="en-US" w:eastAsia="zh-CN"/>
        </w:rPr>
        <w:t>五</w:t>
      </w:r>
      <w:r>
        <w:rPr>
          <w:rFonts w:hint="eastAsia" w:ascii="楷体" w:hAnsi="楷体" w:eastAsia="楷体" w:cs="楷体"/>
          <w:b/>
          <w:bCs/>
          <w:kern w:val="56"/>
          <w:sz w:val="32"/>
          <w:szCs w:val="32"/>
          <w:lang w:eastAsia="zh-CN"/>
        </w:rPr>
        <w:t>）</w:t>
      </w:r>
      <w:r>
        <w:rPr>
          <w:rFonts w:hint="eastAsia" w:ascii="楷体" w:hAnsi="楷体" w:eastAsia="楷体" w:cs="楷体"/>
          <w:kern w:val="56"/>
          <w:sz w:val="32"/>
          <w:szCs w:val="32"/>
        </w:rPr>
        <w:t>成果交付地点</w:t>
      </w:r>
    </w:p>
    <w:p w14:paraId="2766000F">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default" w:ascii="Times New Roman" w:hAnsi="Times New Roman" w:eastAsia="仿宋_GB2312" w:cs="Times New Roman"/>
          <w:kern w:val="56"/>
          <w:sz w:val="32"/>
          <w:szCs w:val="32"/>
        </w:rPr>
      </w:pPr>
      <w:r>
        <w:rPr>
          <w:rFonts w:hint="default" w:ascii="Times New Roman" w:hAnsi="Times New Roman" w:eastAsia="仿宋_GB2312" w:cs="Times New Roman"/>
          <w:kern w:val="56"/>
          <w:sz w:val="32"/>
          <w:szCs w:val="32"/>
        </w:rPr>
        <w:t>采购人指定地点。</w:t>
      </w:r>
      <w:r>
        <w:rPr>
          <w:rFonts w:hint="default" w:ascii="Times New Roman" w:hAnsi="Times New Roman" w:eastAsia="仿宋_GB2312" w:cs="Times New Roman"/>
          <w:kern w:val="56"/>
          <w:sz w:val="32"/>
          <w:szCs w:val="32"/>
        </w:rPr>
        <w:br w:type="page"/>
      </w:r>
    </w:p>
    <w:p w14:paraId="2DB403CB">
      <w:pPr>
        <w:pStyle w:val="2"/>
        <w:spacing w:before="2"/>
        <w:rPr>
          <w:rFonts w:hint="default" w:ascii="Times New Roman" w:hAnsi="Times New Roman" w:cs="Times New Roman"/>
        </w:rPr>
      </w:pPr>
    </w:p>
    <w:p w14:paraId="1FB8731E">
      <w:pPr>
        <w:pStyle w:val="2"/>
        <w:spacing w:before="4"/>
        <w:rPr>
          <w:rFonts w:hint="default" w:ascii="Times New Roman" w:hAnsi="Times New Roman" w:eastAsia="仿宋_GB2312" w:cs="Times New Roman"/>
          <w:lang w:eastAsia="zh-CN"/>
        </w:rPr>
        <w:sectPr>
          <w:pgSz w:w="11910" w:h="16840"/>
          <w:pgMar w:top="1304" w:right="1304" w:bottom="1304" w:left="1531" w:header="720" w:footer="720" w:gutter="0"/>
          <w:cols w:space="720" w:num="1"/>
        </w:sectPr>
      </w:pPr>
    </w:p>
    <w:p w14:paraId="500FF7B9"/>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2BDCC2"/>
    <w:multiLevelType w:val="singleLevel"/>
    <w:tmpl w:val="EE2BDCC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zMjViNmM1MDI1NWQyOGUyNTE0OTk5MzE1NGI4YzcifQ=="/>
  </w:docVars>
  <w:rsids>
    <w:rsidRoot w:val="29B668DD"/>
    <w:rsid w:val="29B668DD"/>
    <w:rsid w:val="40152228"/>
    <w:rsid w:val="578A57B1"/>
    <w:rsid w:val="69763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214"/>
      <w:ind w:left="760"/>
    </w:pPr>
    <w:rPr>
      <w:rFonts w:ascii="仿宋_GB2312" w:hAnsi="仿宋_GB2312" w:eastAsia="仿宋_GB2312" w:cs="仿宋_GB2312"/>
      <w:sz w:val="32"/>
      <w:szCs w:val="32"/>
      <w:lang w:val="zh-CN" w:eastAsia="zh-CN" w:bidi="zh-CN"/>
    </w:rPr>
  </w:style>
  <w:style w:type="paragraph" w:styleId="3">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501</Words>
  <Characters>516</Characters>
  <Lines>0</Lines>
  <Paragraphs>0</Paragraphs>
  <TotalTime>3</TotalTime>
  <ScaleCrop>false</ScaleCrop>
  <LinksUpToDate>false</LinksUpToDate>
  <CharactersWithSpaces>522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2022-07-06T08:40:00Z</dcterms:created>
  <dc:creator>我是黄城城啊</dc:creator>
  <cp:lastModifiedBy>我是黄城城啊</cp:lastModifiedBy>
  <dcterms:modified xsi:type="dcterms:W3CDTF">2026-10-26T07:33:59Z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2C7390808A644C459497BA26EA57C391_13</vt:lpwstr>
  </property>
  <property fmtid="{D5CDD505-2E9C-101B-9397-08002B2CF9AE}" pid="4" name="KSOTemplateDocerSaveRecord">
    <vt:lpwstr>eyJoZGlkIjoiMWQ0MzcxNTI5NDZmOTFhZjcwMjIzMmMyYWZlN2FjNDIiLCJ1c2VySWQiOiI2Njg4Mzg2NzYifQ==</vt:lpwstr>
  </property>
</Properties>
</file>